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DC2F8" w14:textId="77777777" w:rsidR="00235B01" w:rsidRDefault="00585463" w:rsidP="00EC108A">
      <w:r w:rsidRPr="00CA513B">
        <w:rPr>
          <w:rStyle w:val="Strong"/>
          <w:noProof/>
          <w:color w:val="1F497D" w:themeColor="text2"/>
        </w:rPr>
        <mc:AlternateContent>
          <mc:Choice Requires="wps">
            <w:drawing>
              <wp:anchor distT="91440" distB="91440" distL="114300" distR="114300" simplePos="0" relativeHeight="251659264" behindDoc="0" locked="0" layoutInCell="0" allowOverlap="1" wp14:anchorId="4F6DC346" wp14:editId="4F6DC347">
                <wp:simplePos x="0" y="0"/>
                <wp:positionH relativeFrom="margin">
                  <wp:posOffset>4943475</wp:posOffset>
                </wp:positionH>
                <wp:positionV relativeFrom="margin">
                  <wp:posOffset>-504825</wp:posOffset>
                </wp:positionV>
                <wp:extent cx="2781300" cy="1866900"/>
                <wp:effectExtent l="38100" t="38100" r="114300" b="11430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81300" cy="186690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4F6DC353" w14:textId="77777777" w:rsidR="0061044D" w:rsidRPr="00E039E1" w:rsidRDefault="002F0184" w:rsidP="00CA513B">
                            <w:pPr>
                              <w:pStyle w:val="NoSpacing"/>
                              <w:rPr>
                                <w:rStyle w:val="Strong"/>
                                <w:color w:val="1F497D" w:themeColor="text2"/>
                              </w:rPr>
                            </w:pPr>
                            <w:r>
                              <w:rPr>
                                <w:rStyle w:val="Strong"/>
                                <w:color w:val="1F497D" w:themeColor="text2"/>
                              </w:rPr>
                              <w:t>Workgroup:</w:t>
                            </w:r>
                            <w:r w:rsidR="00283080">
                              <w:rPr>
                                <w:rStyle w:val="Strong"/>
                                <w:color w:val="1F497D" w:themeColor="text2"/>
                              </w:rPr>
                              <w:t xml:space="preserve"> ACI</w:t>
                            </w:r>
                          </w:p>
                          <w:p w14:paraId="4F6DC354" w14:textId="77777777" w:rsidR="0061044D" w:rsidRPr="00E039E1" w:rsidRDefault="0061044D" w:rsidP="00CA513B">
                            <w:pPr>
                              <w:pStyle w:val="NoSpacing"/>
                              <w:rPr>
                                <w:rStyle w:val="Strong"/>
                                <w:color w:val="1F497D" w:themeColor="text2"/>
                              </w:rPr>
                            </w:pPr>
                            <w:r w:rsidRPr="00E039E1">
                              <w:rPr>
                                <w:rStyle w:val="Strong"/>
                                <w:color w:val="1F497D" w:themeColor="text2"/>
                              </w:rPr>
                              <w:t>Date:</w:t>
                            </w:r>
                            <w:r w:rsidR="00307654">
                              <w:rPr>
                                <w:rStyle w:val="Strong"/>
                                <w:color w:val="1F497D" w:themeColor="text2"/>
                              </w:rPr>
                              <w:t xml:space="preserve"> </w:t>
                            </w:r>
                            <w:r w:rsidR="008E0B9E">
                              <w:rPr>
                                <w:rStyle w:val="Strong"/>
                                <w:color w:val="1F497D" w:themeColor="text2"/>
                              </w:rPr>
                              <w:t>November 18</w:t>
                            </w:r>
                            <w:r w:rsidR="00283080">
                              <w:rPr>
                                <w:rStyle w:val="Strong"/>
                                <w:color w:val="1F497D" w:themeColor="text2"/>
                              </w:rPr>
                              <w:t>, 2014</w:t>
                            </w:r>
                          </w:p>
                          <w:p w14:paraId="4F6DC355" w14:textId="77777777" w:rsidR="0061044D" w:rsidRPr="00E039E1" w:rsidRDefault="0061044D" w:rsidP="00CA513B">
                            <w:pPr>
                              <w:pStyle w:val="NoSpacing"/>
                              <w:rPr>
                                <w:rStyle w:val="Strong"/>
                                <w:color w:val="1F497D" w:themeColor="text2"/>
                              </w:rPr>
                            </w:pPr>
                            <w:r w:rsidRPr="00E039E1">
                              <w:rPr>
                                <w:rStyle w:val="Strong"/>
                                <w:color w:val="1F497D" w:themeColor="text2"/>
                              </w:rPr>
                              <w:t>Time:</w:t>
                            </w:r>
                            <w:r>
                              <w:rPr>
                                <w:rStyle w:val="Strong"/>
                                <w:color w:val="1F497D" w:themeColor="text2"/>
                              </w:rPr>
                              <w:t xml:space="preserve"> </w:t>
                            </w:r>
                            <w:r w:rsidR="00283080">
                              <w:rPr>
                                <w:rStyle w:val="Strong"/>
                                <w:color w:val="1F497D" w:themeColor="text2"/>
                              </w:rPr>
                              <w:t>3:00 to 5:00 pm</w:t>
                            </w:r>
                          </w:p>
                          <w:p w14:paraId="4F6DC356" w14:textId="77777777" w:rsidR="0061044D" w:rsidRDefault="0061044D" w:rsidP="00CA7F6A">
                            <w:pPr>
                              <w:pStyle w:val="NoSpacing"/>
                              <w:rPr>
                                <w:rStyle w:val="Strong"/>
                                <w:color w:val="1F497D" w:themeColor="text2"/>
                              </w:rPr>
                            </w:pPr>
                            <w:r w:rsidRPr="00E039E1">
                              <w:rPr>
                                <w:rStyle w:val="Strong"/>
                                <w:color w:val="1F497D" w:themeColor="text2"/>
                              </w:rPr>
                              <w:t>Location:</w:t>
                            </w:r>
                            <w:r>
                              <w:rPr>
                                <w:rStyle w:val="Strong"/>
                                <w:color w:val="1F497D" w:themeColor="text2"/>
                              </w:rPr>
                              <w:t xml:space="preserve"> </w:t>
                            </w:r>
                            <w:r w:rsidR="00283080">
                              <w:rPr>
                                <w:rStyle w:val="Strong"/>
                                <w:color w:val="1F497D" w:themeColor="text2"/>
                              </w:rPr>
                              <w:t>MaineGeneral Medical Center</w:t>
                            </w:r>
                          </w:p>
                          <w:p w14:paraId="4F6DC357" w14:textId="77777777" w:rsidR="0061044D" w:rsidRDefault="0061044D" w:rsidP="00CA513B">
                            <w:pPr>
                              <w:pStyle w:val="NoSpacing"/>
                              <w:rPr>
                                <w:rStyle w:val="Strong"/>
                                <w:color w:val="1F497D" w:themeColor="text2"/>
                              </w:rPr>
                            </w:pPr>
                          </w:p>
                          <w:p w14:paraId="4F6DC358" w14:textId="77777777" w:rsidR="0061044D" w:rsidRDefault="0061044D" w:rsidP="00CA513B">
                            <w:pPr>
                              <w:pStyle w:val="NoSpacing"/>
                            </w:pPr>
                          </w:p>
                          <w:p w14:paraId="4F6DC359" w14:textId="77777777" w:rsidR="0061044D" w:rsidRDefault="0061044D">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389.25pt;margin-top:-39.75pt;width:219pt;height:147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" o:allowincell="f" fillcolor="white [3212]" strokecolor="gray [1629]" strokeweight="1.5pt">
                <v:shadow on="t" type="perspective" color="black" opacity="26214f" origin="-.5,-.5" offset=".74836mm,.74836mm" matrix="65864f,,,65864f"/>
                <v:textbox inset="21.6pt,21.6pt,21.6pt,21.6pt">
                  <w:txbxContent>
                    <w:p w:rsidR="0061044D" w:rsidRPr="00E039E1" w:rsidRDefault="002F0184" w:rsidP="00CA513B">
                      <w:pPr>
                        <w:pStyle w:val="NoSpacing"/>
                        <w:rPr>
                          <w:rStyle w:val="Strong"/>
                          <w:color w:val="1F497D" w:themeColor="text2"/>
                        </w:rPr>
                      </w:pPr>
                      <w:r>
                        <w:rPr>
                          <w:rStyle w:val="Strong"/>
                          <w:color w:val="1F497D" w:themeColor="text2"/>
                        </w:rPr>
                        <w:t>Workgroup:</w:t>
                      </w:r>
                      <w:r w:rsidR="00283080">
                        <w:rPr>
                          <w:rStyle w:val="Strong"/>
                          <w:color w:val="1F497D" w:themeColor="text2"/>
                        </w:rPr>
                        <w:t xml:space="preserve"> ACI</w:t>
                      </w:r>
                    </w:p>
                    <w:p w:rsidR="0061044D" w:rsidRPr="00E039E1" w:rsidRDefault="0061044D" w:rsidP="00CA513B">
                      <w:pPr>
                        <w:pStyle w:val="NoSpacing"/>
                        <w:rPr>
                          <w:rStyle w:val="Strong"/>
                          <w:color w:val="1F497D" w:themeColor="text2"/>
                        </w:rPr>
                      </w:pPr>
                      <w:r w:rsidRPr="00E039E1">
                        <w:rPr>
                          <w:rStyle w:val="Strong"/>
                          <w:color w:val="1F497D" w:themeColor="text2"/>
                        </w:rPr>
                        <w:t>Date:</w:t>
                      </w:r>
                      <w:r w:rsidR="00307654">
                        <w:rPr>
                          <w:rStyle w:val="Strong"/>
                          <w:color w:val="1F497D" w:themeColor="text2"/>
                        </w:rPr>
                        <w:t xml:space="preserve"> </w:t>
                      </w:r>
                      <w:r w:rsidR="008E0B9E">
                        <w:rPr>
                          <w:rStyle w:val="Strong"/>
                          <w:color w:val="1F497D" w:themeColor="text2"/>
                        </w:rPr>
                        <w:t>November 18</w:t>
                      </w:r>
                      <w:r w:rsidR="00283080">
                        <w:rPr>
                          <w:rStyle w:val="Strong"/>
                          <w:color w:val="1F497D" w:themeColor="text2"/>
                        </w:rPr>
                        <w:t>, 2014</w:t>
                      </w:r>
                    </w:p>
                    <w:p w:rsidR="0061044D" w:rsidRPr="00E039E1" w:rsidRDefault="0061044D" w:rsidP="00CA513B">
                      <w:pPr>
                        <w:pStyle w:val="NoSpacing"/>
                        <w:rPr>
                          <w:rStyle w:val="Strong"/>
                          <w:color w:val="1F497D" w:themeColor="text2"/>
                        </w:rPr>
                      </w:pPr>
                      <w:r w:rsidRPr="00E039E1">
                        <w:rPr>
                          <w:rStyle w:val="Strong"/>
                          <w:color w:val="1F497D" w:themeColor="text2"/>
                        </w:rPr>
                        <w:t>Time:</w:t>
                      </w:r>
                      <w:r>
                        <w:rPr>
                          <w:rStyle w:val="Strong"/>
                          <w:color w:val="1F497D" w:themeColor="text2"/>
                        </w:rPr>
                        <w:t xml:space="preserve"> </w:t>
                      </w:r>
                      <w:r w:rsidR="00283080">
                        <w:rPr>
                          <w:rStyle w:val="Strong"/>
                          <w:color w:val="1F497D" w:themeColor="text2"/>
                        </w:rPr>
                        <w:t>3:00 to 5:00 pm</w:t>
                      </w:r>
                    </w:p>
                    <w:p w:rsidR="0061044D" w:rsidRDefault="0061044D" w:rsidP="00CA7F6A">
                      <w:pPr>
                        <w:pStyle w:val="NoSpacing"/>
                        <w:rPr>
                          <w:rStyle w:val="Strong"/>
                          <w:color w:val="1F497D" w:themeColor="text2"/>
                        </w:rPr>
                      </w:pPr>
                      <w:r w:rsidRPr="00E039E1">
                        <w:rPr>
                          <w:rStyle w:val="Strong"/>
                          <w:color w:val="1F497D" w:themeColor="text2"/>
                        </w:rPr>
                        <w:t>Location:</w:t>
                      </w:r>
                      <w:r>
                        <w:rPr>
                          <w:rStyle w:val="Strong"/>
                          <w:color w:val="1F497D" w:themeColor="text2"/>
                        </w:rPr>
                        <w:t xml:space="preserve"> </w:t>
                      </w:r>
                      <w:proofErr w:type="spellStart"/>
                      <w:r w:rsidR="00283080">
                        <w:rPr>
                          <w:rStyle w:val="Strong"/>
                          <w:color w:val="1F497D" w:themeColor="text2"/>
                        </w:rPr>
                        <w:t>MaineGeneral</w:t>
                      </w:r>
                      <w:proofErr w:type="spellEnd"/>
                      <w:r w:rsidR="00283080">
                        <w:rPr>
                          <w:rStyle w:val="Strong"/>
                          <w:color w:val="1F497D" w:themeColor="text2"/>
                        </w:rPr>
                        <w:t xml:space="preserve"> Medical Center</w:t>
                      </w:r>
                    </w:p>
                    <w:p w:rsidR="0061044D" w:rsidRDefault="0061044D" w:rsidP="00CA513B">
                      <w:pPr>
                        <w:pStyle w:val="NoSpacing"/>
                        <w:rPr>
                          <w:rStyle w:val="Strong"/>
                          <w:color w:val="1F497D" w:themeColor="text2"/>
                        </w:rPr>
                      </w:pPr>
                    </w:p>
                    <w:p w:rsidR="0061044D" w:rsidRDefault="0061044D" w:rsidP="00CA513B">
                      <w:pPr>
                        <w:pStyle w:val="NoSpacing"/>
                      </w:pPr>
                    </w:p>
                    <w:p w:rsidR="0061044D" w:rsidRDefault="0061044D">
                      <w:pPr>
                        <w:rPr>
                          <w:color w:val="4F81BD" w:themeColor="accent1"/>
                          <w:sz w:val="20"/>
                          <w:szCs w:val="20"/>
                        </w:rPr>
                      </w:pPr>
                    </w:p>
                  </w:txbxContent>
                </v:textbox>
                <w10:wrap type="square" anchorx="margin" anchory="margin"/>
              </v:rect>
            </w:pict>
          </mc:Fallback>
        </mc:AlternateContent>
      </w:r>
      <w:r w:rsidR="00FA2661">
        <w:rPr>
          <w:noProof/>
        </w:rPr>
        <w:drawing>
          <wp:inline distT="0" distB="0" distL="0" distR="0" wp14:anchorId="4F6DC348" wp14:editId="4F6DC349">
            <wp:extent cx="2447544"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im logo_final_1inch.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7544" cy="914400"/>
                    </a:xfrm>
                    <a:prstGeom prst="rect">
                      <a:avLst/>
                    </a:prstGeom>
                  </pic:spPr>
                </pic:pic>
              </a:graphicData>
            </a:graphic>
          </wp:inline>
        </w:drawing>
      </w:r>
      <w:r w:rsidR="00CA513B">
        <w:t xml:space="preserve">                                                      </w:t>
      </w:r>
      <w:r w:rsidR="002A71DC">
        <w:t xml:space="preserve">                                   </w:t>
      </w:r>
      <w:r w:rsidR="00CA513B">
        <w:t xml:space="preserve">   </w:t>
      </w:r>
    </w:p>
    <w:p w14:paraId="4F6DC2F9" w14:textId="77777777" w:rsidR="00AD5607" w:rsidRDefault="00AD5607" w:rsidP="008C516A">
      <w:r>
        <w:t xml:space="preserve">   </w:t>
      </w:r>
      <w:r w:rsidR="000C0D2D">
        <w:rPr>
          <w:noProof/>
        </w:rPr>
        <w:drawing>
          <wp:inline distT="0" distB="0" distL="0" distR="0" wp14:anchorId="4F6DC34A" wp14:editId="4F6DC34B">
            <wp:extent cx="1819275" cy="723900"/>
            <wp:effectExtent l="0" t="0" r="9525" b="0"/>
            <wp:docPr id="1" name="Picture 1" descr="C:\Users\FJohnson\Documents\Logos\mh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Johnson\Documents\Logos\mhmc log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275" cy="723900"/>
                    </a:xfrm>
                    <a:prstGeom prst="rect">
                      <a:avLst/>
                    </a:prstGeom>
                    <a:noFill/>
                    <a:ln>
                      <a:noFill/>
                    </a:ln>
                  </pic:spPr>
                </pic:pic>
              </a:graphicData>
            </a:graphic>
          </wp:inline>
        </w:drawing>
      </w:r>
    </w:p>
    <w:p w14:paraId="4F6DC2FA" w14:textId="77777777" w:rsidR="00283080" w:rsidRPr="000C0D2D" w:rsidRDefault="000C0D2D" w:rsidP="000C0D2D">
      <w:r>
        <w:t xml:space="preserve">   </w:t>
      </w:r>
      <w:bookmarkStart w:id="0" w:name="_GoBack"/>
      <w:bookmarkEnd w:id="0"/>
    </w:p>
    <w:p w14:paraId="4F6DC2FB" w14:textId="77777777" w:rsidR="002A2B0D" w:rsidRDefault="00B360D6" w:rsidP="002A2B0D">
      <w:pPr>
        <w:pStyle w:val="NoSpacing"/>
      </w:pPr>
      <w:r w:rsidRPr="00382C14">
        <w:rPr>
          <w:b/>
        </w:rPr>
        <w:t>Attendance</w:t>
      </w:r>
      <w:r w:rsidR="008E0B9E">
        <w:rPr>
          <w:b/>
        </w:rPr>
        <w:t xml:space="preserve">: </w:t>
      </w:r>
      <w:r w:rsidR="008E0B9E">
        <w:t xml:space="preserve">Steve Ryan, Beacon Health; Mark Still, Cigna; Barbara Crowley, MD, MaineGeneral; Vanessa Santareilli, Maine Primary Care Association;  Lisa Letourneau, Quality Counts; Lisa Tuttle, Quality Counts; Michelle Probert, BIW; Carl Demars, MD, Mid Coast; Joanne Rawlings-Sekunda, Bureau of Insurance; Bob Howe, Howe, Cahill &amp; Co.; </w:t>
      </w:r>
      <w:r w:rsidR="0077745B">
        <w:t>Pamela Beaule, St. Mary’s Health; Jeff Smorczewski, Aetna; Stephanie Peters, MaineHealth; Shawn Alfreds, HealthInfoNet; Linda Welch, MEABT; Bob Downs, Aetna; Peter Kraut, MaineCare; Gordon Smith, Maine Medical Association; Barbara Leonard, MeHAF; Chris Brawn, SEHC; Chrissi Maguire-Harding, MDI Hospital; Patrick Denning, Harvard Pilgrim; John Yindra, Maine Community Options; Katherine Pelletreau, Maine Association of Health Plans; Kathy Coltin, Harvard Pilgrim; Krissy Brasslett, Eastern Maine Health;</w:t>
      </w:r>
      <w:r w:rsidR="004C266D">
        <w:t xml:space="preserve"> Kathleen Pietrowski, Harvard Pilgrim; </w:t>
      </w:r>
      <w:r w:rsidR="0077745B">
        <w:t xml:space="preserve"> James Leonard, MaineCare; Bob McCue, Mid Coast; Jessica Newman, Lewin; Randy Chenard, SIM;  Renea Rice, Eastern Maine Health; </w:t>
      </w:r>
      <w:r w:rsidR="00164817">
        <w:t>R</w:t>
      </w:r>
      <w:r w:rsidR="0077745B">
        <w:t>ick Morrone, EBS; Terry Ann Scriven, MD Independent practitioner; Ted Rooney, MHMC; Lisa Nolan, MHMC; Ellen Schneiter, MHMC; Rebecca Marcisso, MHMC</w:t>
      </w:r>
      <w:r w:rsidR="004C266D">
        <w:t>.</w:t>
      </w:r>
    </w:p>
    <w:p w14:paraId="4F6DC2FC" w14:textId="77777777" w:rsidR="004C266D" w:rsidRDefault="004C266D" w:rsidP="002A2B0D">
      <w:pPr>
        <w:pStyle w:val="NoSpacing"/>
      </w:pPr>
    </w:p>
    <w:p w14:paraId="4F6DC2FD" w14:textId="77777777" w:rsidR="004C266D" w:rsidRDefault="004C266D" w:rsidP="002A2B0D">
      <w:pPr>
        <w:pStyle w:val="NoSpacing"/>
      </w:pPr>
      <w:r>
        <w:rPr>
          <w:b/>
        </w:rPr>
        <w:t xml:space="preserve">Guests: </w:t>
      </w:r>
      <w:r>
        <w:t>Deborah Brown and Maia Crawford, Center for Health Care Strategies (CHCS); Lacey Hartman, State Health Data Assistance Center (SHADAC), Lisa Whittemore, Blue Cross/Blue Shield of Massachusetts.</w:t>
      </w:r>
    </w:p>
    <w:p w14:paraId="4F6DC2FE" w14:textId="77777777" w:rsidR="004C266D" w:rsidRDefault="004C266D" w:rsidP="002A2B0D">
      <w:pPr>
        <w:pStyle w:val="NoSpacing"/>
        <w:rPr>
          <w:b/>
        </w:rPr>
      </w:pPr>
    </w:p>
    <w:p w14:paraId="4F6DC2FF" w14:textId="77777777" w:rsidR="00AD5607" w:rsidRDefault="00B360D6" w:rsidP="002A2B0D">
      <w:pPr>
        <w:pStyle w:val="NoSpacing"/>
      </w:pPr>
      <w:r w:rsidRPr="00382C14">
        <w:rPr>
          <w:b/>
        </w:rPr>
        <w:t>Staff:</w:t>
      </w:r>
      <w:r w:rsidR="000C0D2D">
        <w:rPr>
          <w:b/>
        </w:rPr>
        <w:t xml:space="preserve"> </w:t>
      </w:r>
      <w:r w:rsidR="00CA7F6A">
        <w:t xml:space="preserve"> </w:t>
      </w:r>
      <w:r w:rsidR="000C0D2D">
        <w:t xml:space="preserve">Blake Hendrickson, MHMC; Frank Johnson, MHMC. </w:t>
      </w:r>
    </w:p>
    <w:p w14:paraId="4F6DC300" w14:textId="77777777" w:rsidR="002A2B0D" w:rsidRPr="00382C14" w:rsidRDefault="002A2B0D" w:rsidP="002A2B0D"/>
    <w:tbl>
      <w:tblPr>
        <w:tblStyle w:val="TableGrid"/>
        <w:tblW w:w="0" w:type="auto"/>
        <w:tblLook w:val="04A0" w:firstRow="1" w:lastRow="0" w:firstColumn="1" w:lastColumn="0" w:noHBand="0" w:noVBand="1"/>
      </w:tblPr>
      <w:tblGrid>
        <w:gridCol w:w="3708"/>
        <w:gridCol w:w="1620"/>
        <w:gridCol w:w="4050"/>
        <w:gridCol w:w="2790"/>
      </w:tblGrid>
      <w:tr w:rsidR="000A6C66" w:rsidRPr="00382C14" w14:paraId="4F6DC305" w14:textId="77777777" w:rsidTr="001D798E">
        <w:trPr>
          <w:tblHeader/>
        </w:trPr>
        <w:tc>
          <w:tcPr>
            <w:tcW w:w="3708" w:type="dxa"/>
          </w:tcPr>
          <w:p w14:paraId="4F6DC301" w14:textId="77777777" w:rsidR="000A6C66" w:rsidRPr="00382C14" w:rsidRDefault="000A6C66" w:rsidP="004C2832">
            <w:pPr>
              <w:pStyle w:val="Formal1"/>
              <w:spacing w:after="0"/>
              <w:rPr>
                <w:rFonts w:asciiTheme="minorHAnsi" w:hAnsiTheme="minorHAnsi" w:cstheme="minorHAnsi"/>
                <w:b/>
                <w:sz w:val="22"/>
                <w:szCs w:val="22"/>
              </w:rPr>
            </w:pPr>
            <w:r w:rsidRPr="00382C14">
              <w:rPr>
                <w:rFonts w:asciiTheme="minorHAnsi" w:hAnsiTheme="minorHAnsi" w:cstheme="minorHAnsi"/>
                <w:b/>
                <w:sz w:val="22"/>
                <w:szCs w:val="22"/>
              </w:rPr>
              <w:t>Topics</w:t>
            </w:r>
          </w:p>
        </w:tc>
        <w:tc>
          <w:tcPr>
            <w:tcW w:w="1620" w:type="dxa"/>
          </w:tcPr>
          <w:p w14:paraId="4F6DC302" w14:textId="77777777" w:rsidR="000A6C66" w:rsidRPr="00382C14" w:rsidRDefault="000A6C66" w:rsidP="004C2832">
            <w:pPr>
              <w:pStyle w:val="Formal1"/>
              <w:rPr>
                <w:rFonts w:asciiTheme="minorHAnsi" w:hAnsiTheme="minorHAnsi" w:cstheme="minorHAnsi"/>
                <w:b/>
                <w:sz w:val="22"/>
                <w:szCs w:val="22"/>
              </w:rPr>
            </w:pPr>
            <w:r w:rsidRPr="00382C14">
              <w:rPr>
                <w:rFonts w:asciiTheme="minorHAnsi" w:hAnsiTheme="minorHAnsi" w:cstheme="minorHAnsi"/>
                <w:b/>
                <w:sz w:val="22"/>
                <w:szCs w:val="22"/>
              </w:rPr>
              <w:t>Lead</w:t>
            </w:r>
          </w:p>
        </w:tc>
        <w:tc>
          <w:tcPr>
            <w:tcW w:w="4050" w:type="dxa"/>
          </w:tcPr>
          <w:p w14:paraId="4F6DC303" w14:textId="77777777" w:rsidR="000A6C66" w:rsidRPr="00382C14" w:rsidRDefault="000A6C66" w:rsidP="004C2832">
            <w:pPr>
              <w:rPr>
                <w:b/>
              </w:rPr>
            </w:pPr>
            <w:r w:rsidRPr="00382C14">
              <w:rPr>
                <w:b/>
              </w:rPr>
              <w:t>Notes</w:t>
            </w:r>
          </w:p>
        </w:tc>
        <w:tc>
          <w:tcPr>
            <w:tcW w:w="2790" w:type="dxa"/>
          </w:tcPr>
          <w:p w14:paraId="4F6DC304" w14:textId="77777777" w:rsidR="000A6C66" w:rsidRPr="00382C14" w:rsidRDefault="000A6C66" w:rsidP="004C2832">
            <w:pPr>
              <w:pStyle w:val="Formal1"/>
              <w:rPr>
                <w:rFonts w:asciiTheme="minorHAnsi" w:hAnsiTheme="minorHAnsi" w:cstheme="minorHAnsi"/>
                <w:b/>
                <w:sz w:val="22"/>
                <w:szCs w:val="22"/>
              </w:rPr>
            </w:pPr>
            <w:r w:rsidRPr="00382C14">
              <w:rPr>
                <w:rFonts w:asciiTheme="minorHAnsi" w:hAnsiTheme="minorHAnsi" w:cstheme="minorHAnsi"/>
                <w:b/>
                <w:sz w:val="22"/>
                <w:szCs w:val="22"/>
              </w:rPr>
              <w:t>Actions/Decisions</w:t>
            </w:r>
          </w:p>
        </w:tc>
      </w:tr>
      <w:tr w:rsidR="000A6C66" w:rsidRPr="00382C14" w14:paraId="4F6DC30A" w14:textId="77777777" w:rsidTr="001D798E">
        <w:tc>
          <w:tcPr>
            <w:tcW w:w="3708" w:type="dxa"/>
          </w:tcPr>
          <w:p w14:paraId="4F6DC306" w14:textId="77777777" w:rsidR="000A6C66" w:rsidRPr="00382C14" w:rsidRDefault="004C266D" w:rsidP="00B562FE">
            <w:pPr>
              <w:pStyle w:val="Formal1"/>
              <w:numPr>
                <w:ilvl w:val="0"/>
                <w:numId w:val="1"/>
              </w:numPr>
              <w:spacing w:after="0"/>
              <w:rPr>
                <w:rFonts w:asciiTheme="minorHAnsi" w:hAnsiTheme="minorHAnsi" w:cstheme="minorHAnsi"/>
                <w:b/>
                <w:sz w:val="22"/>
                <w:szCs w:val="22"/>
              </w:rPr>
            </w:pPr>
            <w:r>
              <w:rPr>
                <w:rFonts w:asciiTheme="minorHAnsi" w:hAnsiTheme="minorHAnsi" w:cstheme="minorHAnsi"/>
                <w:b/>
                <w:sz w:val="22"/>
                <w:szCs w:val="22"/>
              </w:rPr>
              <w:t>Introduction</w:t>
            </w:r>
          </w:p>
        </w:tc>
        <w:tc>
          <w:tcPr>
            <w:tcW w:w="1620" w:type="dxa"/>
          </w:tcPr>
          <w:p w14:paraId="4F6DC307" w14:textId="77777777" w:rsidR="00046DB0" w:rsidRPr="00B404FA" w:rsidRDefault="004C266D" w:rsidP="004C266D">
            <w:pPr>
              <w:pStyle w:val="Formal1"/>
              <w:rPr>
                <w:rFonts w:asciiTheme="minorHAnsi" w:hAnsiTheme="minorHAnsi" w:cstheme="minorHAnsi"/>
                <w:sz w:val="22"/>
                <w:szCs w:val="22"/>
              </w:rPr>
            </w:pPr>
            <w:r>
              <w:rPr>
                <w:rFonts w:asciiTheme="minorHAnsi" w:hAnsiTheme="minorHAnsi" w:cstheme="minorHAnsi"/>
                <w:sz w:val="22"/>
                <w:szCs w:val="22"/>
              </w:rPr>
              <w:t>Frank Johnson</w:t>
            </w:r>
          </w:p>
        </w:tc>
        <w:tc>
          <w:tcPr>
            <w:tcW w:w="4050" w:type="dxa"/>
          </w:tcPr>
          <w:p w14:paraId="4F6DC308" w14:textId="77777777" w:rsidR="00366684" w:rsidRPr="00382C14" w:rsidRDefault="006A4F4F" w:rsidP="006A4F4F">
            <w:r>
              <w:t xml:space="preserve">Frank provided a framing introduction for the presentations. He noted that while considerable progress has been made in changing the delivery system to support population health, payment reform for </w:t>
            </w:r>
            <w:r>
              <w:lastRenderedPageBreak/>
              <w:t>primary care has lagged behind.  Despite the best efforts of the health systems and health plans to support many initiatives based on primary care serving as the foundation for population health, the market is still predicated on fee-for-service with layers of pmpm payments. The presentations today are designed to begin to a more detailed and engaged dialogue on how to accelerate primary care investment and payment reform.</w:t>
            </w:r>
          </w:p>
        </w:tc>
        <w:tc>
          <w:tcPr>
            <w:tcW w:w="2790" w:type="dxa"/>
          </w:tcPr>
          <w:p w14:paraId="4F6DC309" w14:textId="77777777" w:rsidR="000A6C66" w:rsidRPr="009B7647" w:rsidRDefault="006A4F4F" w:rsidP="00B404FA">
            <w:pPr>
              <w:pStyle w:val="Formal1"/>
              <w:rPr>
                <w:rFonts w:asciiTheme="minorHAnsi" w:hAnsiTheme="minorHAnsi" w:cstheme="minorHAnsi"/>
                <w:sz w:val="22"/>
                <w:szCs w:val="22"/>
              </w:rPr>
            </w:pPr>
            <w:r>
              <w:rPr>
                <w:rFonts w:asciiTheme="minorHAnsi" w:hAnsiTheme="minorHAnsi" w:cstheme="minorHAnsi"/>
                <w:sz w:val="22"/>
                <w:szCs w:val="22"/>
              </w:rPr>
              <w:lastRenderedPageBreak/>
              <w:t xml:space="preserve">No action was anticipated. This was merely an introduction to the topic of primary care payment reform and the </w:t>
            </w:r>
            <w:r>
              <w:rPr>
                <w:rFonts w:asciiTheme="minorHAnsi" w:hAnsiTheme="minorHAnsi" w:cstheme="minorHAnsi"/>
                <w:sz w:val="22"/>
                <w:szCs w:val="22"/>
              </w:rPr>
              <w:lastRenderedPageBreak/>
              <w:t>presentations to follow.</w:t>
            </w:r>
          </w:p>
        </w:tc>
      </w:tr>
      <w:tr w:rsidR="000A6C66" w:rsidRPr="00382C14" w14:paraId="4F6DC30F" w14:textId="77777777" w:rsidTr="001D798E">
        <w:tc>
          <w:tcPr>
            <w:tcW w:w="3708" w:type="dxa"/>
          </w:tcPr>
          <w:p w14:paraId="4F6DC30B" w14:textId="77777777" w:rsidR="00366684" w:rsidRPr="00B404FA" w:rsidRDefault="006A4F4F" w:rsidP="00B404FA">
            <w:pPr>
              <w:pStyle w:val="ListParagraph"/>
              <w:numPr>
                <w:ilvl w:val="0"/>
                <w:numId w:val="1"/>
              </w:numPr>
              <w:rPr>
                <w:rFonts w:cstheme="minorHAnsi"/>
                <w:b/>
              </w:rPr>
            </w:pPr>
            <w:r>
              <w:rPr>
                <w:rFonts w:cstheme="minorHAnsi"/>
                <w:b/>
              </w:rPr>
              <w:lastRenderedPageBreak/>
              <w:t>Payment Reform in Primary Care: Considerations for Maine</w:t>
            </w:r>
          </w:p>
        </w:tc>
        <w:tc>
          <w:tcPr>
            <w:tcW w:w="1620" w:type="dxa"/>
          </w:tcPr>
          <w:p w14:paraId="4F6DC30C" w14:textId="77777777" w:rsidR="000C5E04" w:rsidRPr="00B404FA" w:rsidRDefault="006A4F4F" w:rsidP="006A4F4F">
            <w:r>
              <w:t>Deborah Brown, CHCS, Maia Crawford, CHCS, Lacey Hartman, SHADAC</w:t>
            </w:r>
          </w:p>
        </w:tc>
        <w:tc>
          <w:tcPr>
            <w:tcW w:w="4050" w:type="dxa"/>
          </w:tcPr>
          <w:p w14:paraId="4F6DC30D" w14:textId="77777777" w:rsidR="00366684" w:rsidRPr="00382C14" w:rsidRDefault="00B8267B" w:rsidP="00B8267B">
            <w:pPr>
              <w:spacing w:after="200" w:line="276" w:lineRule="auto"/>
              <w:rPr>
                <w:rFonts w:cstheme="minorHAnsi"/>
              </w:rPr>
            </w:pPr>
            <w:r>
              <w:rPr>
                <w:rFonts w:cstheme="minorHAnsi"/>
              </w:rPr>
              <w:t xml:space="preserve">Deborah Brown provided a high-level outline of the role of CHCS and SHADAC and the content of the presentation:  policy options for consideration and measuring investment in primary care (noting that much of topic area was covered in the policy brief, </w:t>
            </w:r>
            <w:r>
              <w:rPr>
                <w:rFonts w:cstheme="minorHAnsi"/>
                <w:i/>
              </w:rPr>
              <w:t>Multi-Payer Investment in Primary Care</w:t>
            </w:r>
            <w:r>
              <w:rPr>
                <w:rFonts w:cstheme="minorHAnsi"/>
              </w:rPr>
              <w:t xml:space="preserve">. Maia Crawford  briefed the committee on  seven payment reform options for consideration with examples of these options deployed on other markets. Maia described some of the major policy considerations associated with each option. Lacey Hartman spoke on the issues related to measuring primary care investment including defining “primary care’, target setting and tracking reinvestments. Lacey provided examples </w:t>
            </w:r>
            <w:r>
              <w:rPr>
                <w:rFonts w:cstheme="minorHAnsi"/>
              </w:rPr>
              <w:lastRenderedPageBreak/>
              <w:t xml:space="preserve">from Rhode Island, Vermont, and Oregon.  </w:t>
            </w:r>
          </w:p>
        </w:tc>
        <w:tc>
          <w:tcPr>
            <w:tcW w:w="2790" w:type="dxa"/>
          </w:tcPr>
          <w:p w14:paraId="4F6DC30E" w14:textId="77777777" w:rsidR="007824F0" w:rsidRPr="00876AF0" w:rsidRDefault="00B8267B" w:rsidP="00B30B46">
            <w:pPr>
              <w:spacing w:after="200" w:line="276" w:lineRule="auto"/>
              <w:rPr>
                <w:rFonts w:cstheme="minorHAnsi"/>
              </w:rPr>
            </w:pPr>
            <w:r>
              <w:rPr>
                <w:rFonts w:cstheme="minorHAnsi"/>
              </w:rPr>
              <w:lastRenderedPageBreak/>
              <w:t>There was no action taken on the CHCS and SHADAC</w:t>
            </w:r>
            <w:r w:rsidR="00B30B46">
              <w:rPr>
                <w:rFonts w:cstheme="minorHAnsi"/>
              </w:rPr>
              <w:t xml:space="preserve"> presentations. These presentations were intended to serve as means to frame these issues for more substantive ACI dialogue moving forward. The CHCS/SHADAC team will be joining the ACI Committee for its January 20</w:t>
            </w:r>
            <w:r w:rsidR="00B30B46" w:rsidRPr="00B30B46">
              <w:rPr>
                <w:rFonts w:cstheme="minorHAnsi"/>
                <w:vertAlign w:val="superscript"/>
              </w:rPr>
              <w:t>th</w:t>
            </w:r>
            <w:r w:rsidR="00B30B46">
              <w:rPr>
                <w:rFonts w:cstheme="minorHAnsi"/>
              </w:rPr>
              <w:t xml:space="preserve"> to continue this discussion.</w:t>
            </w:r>
          </w:p>
        </w:tc>
      </w:tr>
      <w:tr w:rsidR="000C5E04" w:rsidRPr="00382C14" w14:paraId="4F6DC314" w14:textId="77777777" w:rsidTr="001D798E">
        <w:tc>
          <w:tcPr>
            <w:tcW w:w="3708" w:type="dxa"/>
          </w:tcPr>
          <w:p w14:paraId="4F6DC310" w14:textId="77777777" w:rsidR="00317EB4" w:rsidRPr="00B30B46" w:rsidRDefault="00B30B46" w:rsidP="00B30B46">
            <w:pPr>
              <w:pStyle w:val="ListParagraph"/>
              <w:numPr>
                <w:ilvl w:val="0"/>
                <w:numId w:val="1"/>
              </w:numPr>
              <w:rPr>
                <w:rFonts w:cstheme="minorHAnsi"/>
                <w:b/>
              </w:rPr>
            </w:pPr>
            <w:r>
              <w:rPr>
                <w:rFonts w:cstheme="minorHAnsi"/>
                <w:b/>
              </w:rPr>
              <w:lastRenderedPageBreak/>
              <w:t xml:space="preserve"> BC/BS of Mass. Alternative Quality Contracts</w:t>
            </w:r>
          </w:p>
        </w:tc>
        <w:tc>
          <w:tcPr>
            <w:tcW w:w="1620" w:type="dxa"/>
          </w:tcPr>
          <w:p w14:paraId="4F6DC311" w14:textId="77777777" w:rsidR="000C5E04" w:rsidRPr="00382C14" w:rsidRDefault="00B30B46" w:rsidP="00CA513B">
            <w:pPr>
              <w:rPr>
                <w:b/>
              </w:rPr>
            </w:pPr>
            <w:r>
              <w:rPr>
                <w:b/>
              </w:rPr>
              <w:t>Lisa Whittemore</w:t>
            </w:r>
          </w:p>
        </w:tc>
        <w:tc>
          <w:tcPr>
            <w:tcW w:w="4050" w:type="dxa"/>
          </w:tcPr>
          <w:p w14:paraId="4F6DC312" w14:textId="77777777" w:rsidR="00366684" w:rsidRPr="00382C14" w:rsidRDefault="00B30B46" w:rsidP="00B30B46">
            <w:pPr>
              <w:rPr>
                <w:rFonts w:cstheme="minorHAnsi"/>
              </w:rPr>
            </w:pPr>
            <w:r>
              <w:rPr>
                <w:rFonts w:cstheme="minorHAnsi"/>
              </w:rPr>
              <w:t xml:space="preserve">Lisa Whittemore provided an update of the development of the Mass. BC/BS Alternative Quality Contracts (AQC). Lisa provided context on the development of AQC and the model that has been employed. </w:t>
            </w:r>
            <w:r w:rsidR="00A349AA">
              <w:rPr>
                <w:rFonts w:cstheme="minorHAnsi"/>
              </w:rPr>
              <w:t xml:space="preserve">The model establishes global budgets with meaningful incentives for high performance. </w:t>
            </w:r>
            <w:r>
              <w:rPr>
                <w:rFonts w:cstheme="minorHAnsi"/>
              </w:rPr>
              <w:t xml:space="preserve">Lisa shared some impressive recent results that demonstrate expansion of the program among the provider community, significant improvements in selected quality measures and overall savings achieved. </w:t>
            </w:r>
            <w:r w:rsidR="00A349AA">
              <w:rPr>
                <w:rFonts w:cstheme="minorHAnsi"/>
              </w:rPr>
              <w:t>Lisa focused on the reporting and analytic support that AQC has provided to practices as instrumental in improved performance. Lisa reported that practice payments are determined by both quality performance and efficiency. One noteworthy slide depicted the quality performance of several practices relatively vulnerable populations. Lisa indicated that there have been five major factors contributing to AQC success: nationally accepted measures applied to all providers, significant financial incentives, targets that enable providers to be rewarded for higher performance, data and analytic support  (particularly related to variation), and provider leadership.</w:t>
            </w:r>
          </w:p>
        </w:tc>
        <w:tc>
          <w:tcPr>
            <w:tcW w:w="2790" w:type="dxa"/>
          </w:tcPr>
          <w:p w14:paraId="4F6DC313" w14:textId="77777777" w:rsidR="009A674E" w:rsidRPr="009E21FE" w:rsidRDefault="00A349AA" w:rsidP="0061044D">
            <w:pPr>
              <w:rPr>
                <w:rFonts w:cstheme="minorHAnsi"/>
              </w:rPr>
            </w:pPr>
            <w:r>
              <w:rPr>
                <w:rFonts w:cstheme="minorHAnsi"/>
              </w:rPr>
              <w:t xml:space="preserve">There was no action expected on this topic as Lisa was asked to update the Committee on </w:t>
            </w:r>
            <w:r w:rsidR="00164817">
              <w:rPr>
                <w:rFonts w:cstheme="minorHAnsi"/>
              </w:rPr>
              <w:t>growth of the program and recent results in follow-up to an earlier AQC presentation in 2010.</w:t>
            </w:r>
            <w:r>
              <w:rPr>
                <w:rFonts w:cstheme="minorHAnsi"/>
              </w:rPr>
              <w:t xml:space="preserve"> </w:t>
            </w:r>
          </w:p>
        </w:tc>
      </w:tr>
      <w:tr w:rsidR="000A6C66" w:rsidRPr="00382C14" w14:paraId="4F6DC31A" w14:textId="77777777" w:rsidTr="001D798E">
        <w:tc>
          <w:tcPr>
            <w:tcW w:w="3708" w:type="dxa"/>
          </w:tcPr>
          <w:p w14:paraId="4F6DC315" w14:textId="77777777" w:rsidR="000A6C66" w:rsidRPr="00164817" w:rsidRDefault="00164817" w:rsidP="00164817">
            <w:pPr>
              <w:pStyle w:val="ListParagraph"/>
              <w:numPr>
                <w:ilvl w:val="0"/>
                <w:numId w:val="1"/>
              </w:numPr>
              <w:rPr>
                <w:rFonts w:cstheme="minorHAnsi"/>
                <w:b/>
              </w:rPr>
            </w:pPr>
            <w:r>
              <w:rPr>
                <w:rFonts w:cstheme="minorHAnsi"/>
                <w:b/>
              </w:rPr>
              <w:t>Status Report on Measure Alignment Work Group</w:t>
            </w:r>
          </w:p>
        </w:tc>
        <w:tc>
          <w:tcPr>
            <w:tcW w:w="1620" w:type="dxa"/>
          </w:tcPr>
          <w:p w14:paraId="4F6DC316" w14:textId="77777777" w:rsidR="000C5E04" w:rsidRPr="00382C14" w:rsidRDefault="00164817" w:rsidP="00CA513B">
            <w:pPr>
              <w:rPr>
                <w:b/>
              </w:rPr>
            </w:pPr>
            <w:r>
              <w:rPr>
                <w:b/>
              </w:rPr>
              <w:t>Frank Johnson</w:t>
            </w:r>
          </w:p>
        </w:tc>
        <w:tc>
          <w:tcPr>
            <w:tcW w:w="4050" w:type="dxa"/>
          </w:tcPr>
          <w:p w14:paraId="4F6DC317" w14:textId="77777777" w:rsidR="00794936" w:rsidRPr="00382C14" w:rsidRDefault="00366684" w:rsidP="00164817">
            <w:pPr>
              <w:rPr>
                <w:rFonts w:cstheme="minorHAnsi"/>
              </w:rPr>
            </w:pPr>
            <w:r>
              <w:rPr>
                <w:rFonts w:cstheme="minorHAnsi"/>
              </w:rPr>
              <w:t xml:space="preserve"> </w:t>
            </w:r>
            <w:r w:rsidR="00164817">
              <w:rPr>
                <w:rFonts w:cstheme="minorHAnsi"/>
              </w:rPr>
              <w:t xml:space="preserve">Frank updated the committee on the progress of the Measure Alignment Work </w:t>
            </w:r>
            <w:r w:rsidR="00164817">
              <w:rPr>
                <w:rFonts w:cstheme="minorHAnsi"/>
              </w:rPr>
              <w:lastRenderedPageBreak/>
              <w:t>Group. He reported that a set of measures is currently being subjected to a weighting process using the criteria initially established by the Work Group and the Buying Value tool. Work remains on the identifying the recommended measure set and outstanding operational issues. Frank reported that the recommended measure set will be presented to both the ACI Committee and the SIM Payment Reform Subcommittee for  review and endorsement.</w:t>
            </w:r>
          </w:p>
        </w:tc>
        <w:tc>
          <w:tcPr>
            <w:tcW w:w="2790" w:type="dxa"/>
          </w:tcPr>
          <w:p w14:paraId="4F6DC318" w14:textId="77777777" w:rsidR="009A674E" w:rsidRPr="00164817" w:rsidRDefault="00366684" w:rsidP="00A3329A">
            <w:pPr>
              <w:contextualSpacing/>
              <w:rPr>
                <w:rFonts w:cstheme="minorHAnsi"/>
              </w:rPr>
            </w:pPr>
            <w:r>
              <w:rPr>
                <w:b/>
              </w:rPr>
              <w:lastRenderedPageBreak/>
              <w:t xml:space="preserve"> </w:t>
            </w:r>
            <w:r w:rsidR="00164817">
              <w:t>DNA</w:t>
            </w:r>
          </w:p>
          <w:p w14:paraId="4F6DC319" w14:textId="77777777" w:rsidR="000A6C66" w:rsidRPr="00382C14" w:rsidRDefault="000A6C66" w:rsidP="0061044D">
            <w:pPr>
              <w:rPr>
                <w:rFonts w:cstheme="minorHAnsi"/>
                <w:b/>
              </w:rPr>
            </w:pPr>
          </w:p>
        </w:tc>
      </w:tr>
      <w:tr w:rsidR="000A6C66" w:rsidRPr="00382C14" w14:paraId="4F6DC32A" w14:textId="77777777" w:rsidTr="001D798E">
        <w:tc>
          <w:tcPr>
            <w:tcW w:w="3708" w:type="dxa"/>
          </w:tcPr>
          <w:p w14:paraId="4F6DC31B" w14:textId="77777777" w:rsidR="000A6C66" w:rsidRDefault="00794936" w:rsidP="00752238">
            <w:pPr>
              <w:pStyle w:val="ListParagraph"/>
              <w:numPr>
                <w:ilvl w:val="0"/>
                <w:numId w:val="1"/>
              </w:numPr>
              <w:rPr>
                <w:rFonts w:asciiTheme="minorHAnsi" w:hAnsiTheme="minorHAnsi"/>
                <w:b/>
              </w:rPr>
            </w:pPr>
            <w:r>
              <w:rPr>
                <w:rFonts w:asciiTheme="minorHAnsi" w:hAnsiTheme="minorHAnsi"/>
                <w:b/>
              </w:rPr>
              <w:lastRenderedPageBreak/>
              <w:t>Risk/Dependencies</w:t>
            </w:r>
          </w:p>
          <w:p w14:paraId="4F6DC31C" w14:textId="77777777" w:rsidR="00366684" w:rsidRDefault="00307654" w:rsidP="00794936">
            <w:pPr>
              <w:pStyle w:val="ListParagraph"/>
              <w:ind w:left="360"/>
              <w:rPr>
                <w:rFonts w:asciiTheme="minorHAnsi" w:hAnsiTheme="minorHAnsi"/>
                <w:b/>
              </w:rPr>
            </w:pPr>
            <w:r>
              <w:rPr>
                <w:rFonts w:asciiTheme="minorHAnsi" w:hAnsiTheme="minorHAnsi"/>
                <w:b/>
              </w:rPr>
              <w:t xml:space="preserve"> </w:t>
            </w:r>
          </w:p>
          <w:p w14:paraId="4F6DC31D" w14:textId="77777777" w:rsidR="00366684" w:rsidRPr="00307654" w:rsidRDefault="00317EB4" w:rsidP="00307654">
            <w:pPr>
              <w:pStyle w:val="ListParagraph"/>
              <w:ind w:left="360"/>
              <w:rPr>
                <w:rFonts w:asciiTheme="minorHAnsi" w:hAnsiTheme="minorHAnsi"/>
                <w:b/>
              </w:rPr>
            </w:pPr>
            <w:r>
              <w:rPr>
                <w:rFonts w:asciiTheme="minorHAnsi" w:hAnsiTheme="minorHAnsi"/>
                <w:b/>
              </w:rPr>
              <w:t>Expected Action</w:t>
            </w:r>
            <w:r w:rsidR="00307654">
              <w:rPr>
                <w:rFonts w:asciiTheme="minorHAnsi" w:hAnsiTheme="minorHAnsi"/>
                <w:b/>
              </w:rPr>
              <w:t xml:space="preserve"> </w:t>
            </w:r>
          </w:p>
        </w:tc>
        <w:tc>
          <w:tcPr>
            <w:tcW w:w="1620" w:type="dxa"/>
          </w:tcPr>
          <w:p w14:paraId="4F6DC31E" w14:textId="77777777" w:rsidR="000A6C66" w:rsidRDefault="00876AF0" w:rsidP="00CA513B">
            <w:pPr>
              <w:rPr>
                <w:b/>
              </w:rPr>
            </w:pPr>
            <w:r>
              <w:rPr>
                <w:b/>
              </w:rPr>
              <w:t>DNA</w:t>
            </w:r>
          </w:p>
          <w:p w14:paraId="4F6DC31F" w14:textId="77777777" w:rsidR="00205ACD" w:rsidRPr="00382C14" w:rsidRDefault="00205ACD" w:rsidP="00CA513B">
            <w:pPr>
              <w:rPr>
                <w:b/>
              </w:rPr>
            </w:pPr>
          </w:p>
          <w:p w14:paraId="4F6DC320" w14:textId="77777777" w:rsidR="000C5E04" w:rsidRPr="00382C14" w:rsidRDefault="00307654" w:rsidP="00CA513B">
            <w:pPr>
              <w:rPr>
                <w:b/>
              </w:rPr>
            </w:pPr>
            <w:r>
              <w:rPr>
                <w:b/>
              </w:rPr>
              <w:t xml:space="preserve"> </w:t>
            </w:r>
          </w:p>
          <w:p w14:paraId="4F6DC321" w14:textId="77777777" w:rsidR="000C5E04" w:rsidRPr="00382C14" w:rsidRDefault="000C5E04" w:rsidP="00CA513B">
            <w:pPr>
              <w:rPr>
                <w:b/>
              </w:rPr>
            </w:pPr>
          </w:p>
        </w:tc>
        <w:tc>
          <w:tcPr>
            <w:tcW w:w="4050" w:type="dxa"/>
          </w:tcPr>
          <w:p w14:paraId="4F6DC322" w14:textId="77777777" w:rsidR="00794936" w:rsidRDefault="00794936" w:rsidP="009D0255">
            <w:pPr>
              <w:contextualSpacing/>
            </w:pPr>
          </w:p>
          <w:p w14:paraId="4F6DC323" w14:textId="77777777" w:rsidR="00794936" w:rsidRDefault="00794936" w:rsidP="009D0255">
            <w:pPr>
              <w:contextualSpacing/>
            </w:pPr>
          </w:p>
          <w:p w14:paraId="4F6DC324" w14:textId="77777777" w:rsidR="00205ACD" w:rsidRDefault="00205ACD" w:rsidP="009D0255">
            <w:pPr>
              <w:contextualSpacing/>
            </w:pPr>
          </w:p>
          <w:p w14:paraId="4F6DC325" w14:textId="77777777" w:rsidR="00205ACD" w:rsidRDefault="00205ACD" w:rsidP="009D0255">
            <w:pPr>
              <w:contextualSpacing/>
            </w:pPr>
          </w:p>
          <w:p w14:paraId="4F6DC326" w14:textId="77777777" w:rsidR="00205ACD" w:rsidRDefault="00205ACD" w:rsidP="009D0255">
            <w:pPr>
              <w:contextualSpacing/>
            </w:pPr>
          </w:p>
          <w:p w14:paraId="4F6DC327" w14:textId="77777777" w:rsidR="00205ACD" w:rsidRDefault="00205ACD" w:rsidP="009D0255">
            <w:pPr>
              <w:contextualSpacing/>
            </w:pPr>
          </w:p>
          <w:p w14:paraId="4F6DC328" w14:textId="77777777" w:rsidR="00205ACD" w:rsidRPr="00382C14" w:rsidRDefault="00205ACD" w:rsidP="009D0255">
            <w:pPr>
              <w:contextualSpacing/>
            </w:pPr>
          </w:p>
        </w:tc>
        <w:tc>
          <w:tcPr>
            <w:tcW w:w="2790" w:type="dxa"/>
          </w:tcPr>
          <w:p w14:paraId="4F6DC329" w14:textId="77777777" w:rsidR="000A6C66" w:rsidRPr="00382C14" w:rsidRDefault="000A6C66" w:rsidP="00CA513B">
            <w:pPr>
              <w:rPr>
                <w:b/>
              </w:rPr>
            </w:pPr>
          </w:p>
        </w:tc>
      </w:tr>
      <w:tr w:rsidR="00DC45C1" w:rsidRPr="00382C14" w14:paraId="4F6DC333" w14:textId="77777777" w:rsidTr="001D798E">
        <w:tc>
          <w:tcPr>
            <w:tcW w:w="3708" w:type="dxa"/>
          </w:tcPr>
          <w:p w14:paraId="4F6DC32B" w14:textId="77777777" w:rsidR="00DC45C1" w:rsidRDefault="00317EB4" w:rsidP="00752238">
            <w:pPr>
              <w:pStyle w:val="ListParagraph"/>
              <w:numPr>
                <w:ilvl w:val="0"/>
                <w:numId w:val="1"/>
              </w:numPr>
              <w:rPr>
                <w:rFonts w:asciiTheme="minorHAnsi" w:hAnsiTheme="minorHAnsi"/>
                <w:b/>
              </w:rPr>
            </w:pPr>
            <w:r>
              <w:rPr>
                <w:rFonts w:asciiTheme="minorHAnsi" w:hAnsiTheme="minorHAnsi"/>
                <w:b/>
              </w:rPr>
              <w:t>Interested Parties Public Comment</w:t>
            </w:r>
          </w:p>
          <w:p w14:paraId="4F6DC32C" w14:textId="77777777" w:rsidR="00205ACD" w:rsidRDefault="00205ACD" w:rsidP="00205ACD">
            <w:pPr>
              <w:pStyle w:val="ListParagraph"/>
              <w:ind w:left="360"/>
              <w:rPr>
                <w:rFonts w:asciiTheme="minorHAnsi" w:hAnsiTheme="minorHAnsi"/>
                <w:b/>
              </w:rPr>
            </w:pPr>
          </w:p>
          <w:p w14:paraId="4F6DC32D" w14:textId="77777777" w:rsidR="00205ACD" w:rsidRPr="00CC6A19" w:rsidRDefault="00205ACD" w:rsidP="00CC6A19">
            <w:pPr>
              <w:rPr>
                <w:b/>
              </w:rPr>
            </w:pPr>
          </w:p>
          <w:p w14:paraId="4F6DC32E" w14:textId="77777777" w:rsidR="00205ACD" w:rsidRPr="00382C14" w:rsidRDefault="00205ACD" w:rsidP="00205ACD">
            <w:pPr>
              <w:pStyle w:val="ListParagraph"/>
              <w:ind w:left="360"/>
              <w:rPr>
                <w:rFonts w:asciiTheme="minorHAnsi" w:hAnsiTheme="minorHAnsi"/>
                <w:b/>
              </w:rPr>
            </w:pPr>
          </w:p>
        </w:tc>
        <w:tc>
          <w:tcPr>
            <w:tcW w:w="1620" w:type="dxa"/>
          </w:tcPr>
          <w:p w14:paraId="4F6DC32F" w14:textId="77777777" w:rsidR="00DC45C1" w:rsidRDefault="00876AF0" w:rsidP="00CA513B">
            <w:pPr>
              <w:rPr>
                <w:b/>
              </w:rPr>
            </w:pPr>
            <w:r>
              <w:rPr>
                <w:b/>
              </w:rPr>
              <w:t>DNA</w:t>
            </w:r>
          </w:p>
          <w:p w14:paraId="4F6DC330" w14:textId="77777777" w:rsidR="00317EB4" w:rsidRPr="00382C14" w:rsidRDefault="00307654" w:rsidP="00CA513B">
            <w:pPr>
              <w:rPr>
                <w:b/>
              </w:rPr>
            </w:pPr>
            <w:r>
              <w:rPr>
                <w:b/>
              </w:rPr>
              <w:t xml:space="preserve"> </w:t>
            </w:r>
          </w:p>
        </w:tc>
        <w:tc>
          <w:tcPr>
            <w:tcW w:w="4050" w:type="dxa"/>
          </w:tcPr>
          <w:p w14:paraId="4F6DC331" w14:textId="77777777" w:rsidR="00205ACD" w:rsidRDefault="00205ACD" w:rsidP="00DC45C1">
            <w:pPr>
              <w:rPr>
                <w:b/>
              </w:rPr>
            </w:pPr>
          </w:p>
        </w:tc>
        <w:tc>
          <w:tcPr>
            <w:tcW w:w="2790" w:type="dxa"/>
          </w:tcPr>
          <w:p w14:paraId="4F6DC332" w14:textId="77777777" w:rsidR="00DC45C1" w:rsidRPr="00382C14" w:rsidRDefault="00DC45C1" w:rsidP="00CA513B">
            <w:pPr>
              <w:rPr>
                <w:b/>
              </w:rPr>
            </w:pPr>
          </w:p>
        </w:tc>
      </w:tr>
      <w:tr w:rsidR="000A6C66" w:rsidRPr="00382C14" w14:paraId="4F6DC338" w14:textId="77777777" w:rsidTr="001D798E">
        <w:tc>
          <w:tcPr>
            <w:tcW w:w="3708" w:type="dxa"/>
          </w:tcPr>
          <w:p w14:paraId="4F6DC334" w14:textId="77777777" w:rsidR="000A6C66" w:rsidRPr="00382C14" w:rsidRDefault="000A6C66" w:rsidP="00CA7F6A">
            <w:pPr>
              <w:pStyle w:val="ListParagraph"/>
              <w:ind w:left="360"/>
              <w:rPr>
                <w:rFonts w:asciiTheme="minorHAnsi" w:hAnsiTheme="minorHAnsi"/>
                <w:b/>
              </w:rPr>
            </w:pPr>
          </w:p>
        </w:tc>
        <w:tc>
          <w:tcPr>
            <w:tcW w:w="1620" w:type="dxa"/>
          </w:tcPr>
          <w:p w14:paraId="4F6DC335" w14:textId="77777777" w:rsidR="000C5E04" w:rsidRPr="00382C14" w:rsidRDefault="000C5E04" w:rsidP="00CA513B">
            <w:pPr>
              <w:rPr>
                <w:b/>
              </w:rPr>
            </w:pPr>
          </w:p>
        </w:tc>
        <w:tc>
          <w:tcPr>
            <w:tcW w:w="4050" w:type="dxa"/>
          </w:tcPr>
          <w:p w14:paraId="4F6DC336" w14:textId="77777777" w:rsidR="000A6C66" w:rsidRPr="00382C14" w:rsidRDefault="000A6C66" w:rsidP="00CA513B"/>
        </w:tc>
        <w:tc>
          <w:tcPr>
            <w:tcW w:w="2790" w:type="dxa"/>
          </w:tcPr>
          <w:p w14:paraId="4F6DC337" w14:textId="77777777" w:rsidR="000A6C66" w:rsidRPr="00382C14" w:rsidRDefault="000A6C66" w:rsidP="00CA513B">
            <w:pPr>
              <w:rPr>
                <w:b/>
              </w:rPr>
            </w:pPr>
          </w:p>
        </w:tc>
      </w:tr>
      <w:tr w:rsidR="000A6C66" w:rsidRPr="00382C14" w14:paraId="4F6DC33F" w14:textId="77777777" w:rsidTr="001D798E">
        <w:tc>
          <w:tcPr>
            <w:tcW w:w="3708" w:type="dxa"/>
          </w:tcPr>
          <w:p w14:paraId="4F6DC339" w14:textId="77777777" w:rsidR="00794936" w:rsidRDefault="00307654" w:rsidP="009D0255">
            <w:pPr>
              <w:rPr>
                <w:b/>
              </w:rPr>
            </w:pPr>
            <w:r>
              <w:rPr>
                <w:b/>
              </w:rPr>
              <w:t xml:space="preserve">Next </w:t>
            </w:r>
            <w:r w:rsidR="00317EB4">
              <w:rPr>
                <w:b/>
              </w:rPr>
              <w:t>Meeting</w:t>
            </w:r>
          </w:p>
          <w:p w14:paraId="4F6DC33A" w14:textId="77777777" w:rsidR="00CC6A19" w:rsidRPr="00382C14" w:rsidRDefault="00307654" w:rsidP="009D0255">
            <w:pPr>
              <w:rPr>
                <w:b/>
              </w:rPr>
            </w:pPr>
            <w:r>
              <w:rPr>
                <w:b/>
              </w:rPr>
              <w:t xml:space="preserve"> </w:t>
            </w:r>
          </w:p>
        </w:tc>
        <w:tc>
          <w:tcPr>
            <w:tcW w:w="1620" w:type="dxa"/>
          </w:tcPr>
          <w:p w14:paraId="4F6DC33B" w14:textId="77777777" w:rsidR="000C5E04" w:rsidRPr="00382C14" w:rsidRDefault="000C5E04" w:rsidP="00CA513B">
            <w:pPr>
              <w:rPr>
                <w:b/>
              </w:rPr>
            </w:pPr>
          </w:p>
          <w:p w14:paraId="4F6DC33C" w14:textId="77777777" w:rsidR="000C5E04" w:rsidRPr="00382C14" w:rsidRDefault="000C5E04" w:rsidP="00CA513B">
            <w:pPr>
              <w:rPr>
                <w:b/>
              </w:rPr>
            </w:pPr>
          </w:p>
        </w:tc>
        <w:tc>
          <w:tcPr>
            <w:tcW w:w="4050" w:type="dxa"/>
          </w:tcPr>
          <w:p w14:paraId="4F6DC33D" w14:textId="77777777" w:rsidR="000A6C66" w:rsidRPr="00382C14" w:rsidRDefault="00F03098" w:rsidP="00CA513B">
            <w:pPr>
              <w:rPr>
                <w:b/>
              </w:rPr>
            </w:pPr>
            <w:r>
              <w:rPr>
                <w:b/>
              </w:rPr>
              <w:t xml:space="preserve"> </w:t>
            </w:r>
          </w:p>
        </w:tc>
        <w:tc>
          <w:tcPr>
            <w:tcW w:w="2790" w:type="dxa"/>
          </w:tcPr>
          <w:p w14:paraId="4F6DC33E" w14:textId="77777777" w:rsidR="000A6C66" w:rsidRPr="00382C14" w:rsidRDefault="000A6C66" w:rsidP="00CA513B">
            <w:pPr>
              <w:rPr>
                <w:b/>
              </w:rPr>
            </w:pPr>
          </w:p>
        </w:tc>
      </w:tr>
    </w:tbl>
    <w:p w14:paraId="4F6DC340" w14:textId="77777777" w:rsidR="002E77E0" w:rsidRPr="00382C14" w:rsidRDefault="002E77E0" w:rsidP="00205ACD">
      <w:pPr>
        <w:spacing w:after="0" w:line="240" w:lineRule="auto"/>
        <w:rPr>
          <w:rFonts w:eastAsia="Times New Roman" w:cs="Times New Roman"/>
          <w:b/>
        </w:rPr>
      </w:pPr>
    </w:p>
    <w:p w14:paraId="4F6DC341" w14:textId="77777777" w:rsidR="00205ACD" w:rsidRDefault="00205ACD" w:rsidP="00752238">
      <w:pPr>
        <w:spacing w:after="0" w:line="240" w:lineRule="auto"/>
        <w:jc w:val="center"/>
        <w:rPr>
          <w:rFonts w:eastAsia="Times New Roman" w:cs="Times New Roman"/>
          <w:b/>
        </w:rPr>
      </w:pPr>
    </w:p>
    <w:p w14:paraId="4F6DC342" w14:textId="77777777" w:rsidR="00876AF0" w:rsidRDefault="00752238" w:rsidP="00CA7F6A">
      <w:pPr>
        <w:spacing w:after="0" w:line="240" w:lineRule="auto"/>
        <w:jc w:val="center"/>
        <w:rPr>
          <w:rFonts w:eastAsia="Times New Roman" w:cs="Times New Roman"/>
          <w:b/>
        </w:rPr>
      </w:pPr>
      <w:r w:rsidRPr="00382C14">
        <w:rPr>
          <w:rFonts w:eastAsia="Times New Roman" w:cs="Times New Roman"/>
          <w:b/>
        </w:rPr>
        <w:t>Next Meet</w:t>
      </w:r>
      <w:r w:rsidR="00CE623A" w:rsidRPr="00382C14">
        <w:rPr>
          <w:rFonts w:eastAsia="Times New Roman" w:cs="Times New Roman"/>
          <w:b/>
        </w:rPr>
        <w:t xml:space="preserve">ing: </w:t>
      </w:r>
      <w:r w:rsidR="00164817">
        <w:rPr>
          <w:rFonts w:eastAsia="Times New Roman" w:cs="Times New Roman"/>
          <w:b/>
        </w:rPr>
        <w:t>January 20, 2015</w:t>
      </w:r>
    </w:p>
    <w:p w14:paraId="4F6DC343" w14:textId="77777777" w:rsidR="00876AF0" w:rsidRDefault="00876AF0" w:rsidP="00CA7F6A">
      <w:pPr>
        <w:spacing w:after="0" w:line="240" w:lineRule="auto"/>
        <w:jc w:val="center"/>
        <w:rPr>
          <w:rFonts w:eastAsia="Times New Roman" w:cs="Times New Roman"/>
          <w:b/>
        </w:rPr>
      </w:pPr>
      <w:r>
        <w:rPr>
          <w:rFonts w:eastAsia="Times New Roman" w:cs="Times New Roman"/>
          <w:b/>
        </w:rPr>
        <w:t xml:space="preserve">3:00 to 5:00 @ </w:t>
      </w:r>
      <w:r w:rsidR="00164817">
        <w:rPr>
          <w:rFonts w:eastAsia="Times New Roman" w:cs="Times New Roman"/>
          <w:b/>
        </w:rPr>
        <w:t>location TBD</w:t>
      </w:r>
      <w:r>
        <w:rPr>
          <w:rFonts w:eastAsia="Times New Roman" w:cs="Times New Roman"/>
          <w:b/>
        </w:rPr>
        <w:t>, Augusta</w:t>
      </w:r>
    </w:p>
    <w:p w14:paraId="4F6DC344" w14:textId="77777777" w:rsidR="002E77E0" w:rsidRPr="00382C14" w:rsidRDefault="00317EB4" w:rsidP="00CA7F6A">
      <w:pPr>
        <w:spacing w:after="0" w:line="240" w:lineRule="auto"/>
        <w:jc w:val="center"/>
        <w:rPr>
          <w:rFonts w:eastAsia="Times New Roman" w:cs="Times New Roman"/>
          <w:b/>
        </w:rPr>
      </w:pPr>
      <w:r>
        <w:rPr>
          <w:rFonts w:eastAsia="Times New Roman" w:cs="Times New Roman"/>
          <w:b/>
        </w:rPr>
        <w:t xml:space="preserve"> </w:t>
      </w:r>
    </w:p>
    <w:p w14:paraId="4F6DC345" w14:textId="77777777" w:rsidR="001D1B62" w:rsidRPr="00382C14" w:rsidRDefault="001D1B62" w:rsidP="00DC7D65">
      <w:pPr>
        <w:spacing w:after="0" w:line="240" w:lineRule="auto"/>
        <w:rPr>
          <w:rFonts w:eastAsia="Times New Roman" w:cs="Times New Roman"/>
          <w:b/>
        </w:rPr>
      </w:pPr>
    </w:p>
    <w:sectPr w:rsidR="001D1B62" w:rsidRPr="00382C14" w:rsidSect="001F1605">
      <w:headerReference w:type="default" r:id="rId14"/>
      <w:footerReference w:type="default" r:id="rId15"/>
      <w:pgSz w:w="15840" w:h="12240" w:orient="landscape"/>
      <w:pgMar w:top="1080" w:right="1354"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DC34E" w14:textId="77777777" w:rsidR="00E10CE0" w:rsidRDefault="00E10CE0" w:rsidP="009528AC">
      <w:pPr>
        <w:spacing w:after="0" w:line="240" w:lineRule="auto"/>
      </w:pPr>
      <w:r>
        <w:separator/>
      </w:r>
    </w:p>
  </w:endnote>
  <w:endnote w:type="continuationSeparator" w:id="0">
    <w:p w14:paraId="4F6DC34F" w14:textId="77777777" w:rsidR="00E10CE0" w:rsidRDefault="00E10CE0" w:rsidP="0095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229907"/>
      <w:docPartObj>
        <w:docPartGallery w:val="Page Numbers (Bottom of Page)"/>
        <w:docPartUnique/>
      </w:docPartObj>
    </w:sdtPr>
    <w:sdtEndPr>
      <w:rPr>
        <w:noProof/>
      </w:rPr>
    </w:sdtEndPr>
    <w:sdtContent>
      <w:p w14:paraId="4F6DC351" w14:textId="77777777" w:rsidR="0061044D" w:rsidRDefault="0061044D">
        <w:pPr>
          <w:pStyle w:val="Footer"/>
          <w:jc w:val="right"/>
        </w:pPr>
        <w:r>
          <w:fldChar w:fldCharType="begin"/>
        </w:r>
        <w:r>
          <w:instrText xml:space="preserve"> PAGE   \* MERGEFORMAT </w:instrText>
        </w:r>
        <w:r>
          <w:fldChar w:fldCharType="separate"/>
        </w:r>
        <w:r w:rsidR="00D16C1B">
          <w:rPr>
            <w:noProof/>
          </w:rPr>
          <w:t>2</w:t>
        </w:r>
        <w:r>
          <w:rPr>
            <w:noProof/>
          </w:rPr>
          <w:fldChar w:fldCharType="end"/>
        </w:r>
      </w:p>
    </w:sdtContent>
  </w:sdt>
  <w:p w14:paraId="4F6DC352" w14:textId="77777777" w:rsidR="0061044D" w:rsidRDefault="0061044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DC34C" w14:textId="77777777" w:rsidR="00E10CE0" w:rsidRDefault="00E10CE0" w:rsidP="009528AC">
      <w:pPr>
        <w:spacing w:after="0" w:line="240" w:lineRule="auto"/>
      </w:pPr>
      <w:r>
        <w:separator/>
      </w:r>
    </w:p>
  </w:footnote>
  <w:footnote w:type="continuationSeparator" w:id="0">
    <w:p w14:paraId="4F6DC34D" w14:textId="77777777" w:rsidR="00E10CE0" w:rsidRDefault="00E10CE0" w:rsidP="009528A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DC350" w14:textId="77777777" w:rsidR="0061044D" w:rsidRDefault="0061044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3F6A"/>
    <w:multiLevelType w:val="hybridMultilevel"/>
    <w:tmpl w:val="937A3A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62CCF"/>
    <w:multiLevelType w:val="hybridMultilevel"/>
    <w:tmpl w:val="83444C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240F8"/>
    <w:multiLevelType w:val="hybridMultilevel"/>
    <w:tmpl w:val="7F1E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12445"/>
    <w:multiLevelType w:val="hybridMultilevel"/>
    <w:tmpl w:val="984AC13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E733E8"/>
    <w:multiLevelType w:val="hybridMultilevel"/>
    <w:tmpl w:val="F36C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942D8"/>
    <w:multiLevelType w:val="hybridMultilevel"/>
    <w:tmpl w:val="E94E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D0EDC"/>
    <w:multiLevelType w:val="hybridMultilevel"/>
    <w:tmpl w:val="5F98C700"/>
    <w:lvl w:ilvl="0" w:tplc="F10613F4">
      <w:start w:val="1"/>
      <w:numFmt w:val="bullet"/>
      <w:lvlText w:val="•"/>
      <w:lvlJc w:val="left"/>
      <w:pPr>
        <w:tabs>
          <w:tab w:val="num" w:pos="720"/>
        </w:tabs>
        <w:ind w:left="720" w:hanging="360"/>
      </w:pPr>
      <w:rPr>
        <w:rFonts w:ascii="Arial" w:hAnsi="Arial" w:hint="default"/>
      </w:rPr>
    </w:lvl>
    <w:lvl w:ilvl="1" w:tplc="B5BEAEDC">
      <w:start w:val="2307"/>
      <w:numFmt w:val="bullet"/>
      <w:lvlText w:val="–"/>
      <w:lvlJc w:val="left"/>
      <w:pPr>
        <w:tabs>
          <w:tab w:val="num" w:pos="1440"/>
        </w:tabs>
        <w:ind w:left="1440" w:hanging="360"/>
      </w:pPr>
      <w:rPr>
        <w:rFonts w:ascii="Arial" w:hAnsi="Arial" w:hint="default"/>
      </w:rPr>
    </w:lvl>
    <w:lvl w:ilvl="2" w:tplc="B338EB62" w:tentative="1">
      <w:start w:val="1"/>
      <w:numFmt w:val="bullet"/>
      <w:lvlText w:val="•"/>
      <w:lvlJc w:val="left"/>
      <w:pPr>
        <w:tabs>
          <w:tab w:val="num" w:pos="2160"/>
        </w:tabs>
        <w:ind w:left="2160" w:hanging="360"/>
      </w:pPr>
      <w:rPr>
        <w:rFonts w:ascii="Arial" w:hAnsi="Arial" w:hint="default"/>
      </w:rPr>
    </w:lvl>
    <w:lvl w:ilvl="3" w:tplc="BA76B1F8" w:tentative="1">
      <w:start w:val="1"/>
      <w:numFmt w:val="bullet"/>
      <w:lvlText w:val="•"/>
      <w:lvlJc w:val="left"/>
      <w:pPr>
        <w:tabs>
          <w:tab w:val="num" w:pos="2880"/>
        </w:tabs>
        <w:ind w:left="2880" w:hanging="360"/>
      </w:pPr>
      <w:rPr>
        <w:rFonts w:ascii="Arial" w:hAnsi="Arial" w:hint="default"/>
      </w:rPr>
    </w:lvl>
    <w:lvl w:ilvl="4" w:tplc="023CFFC8" w:tentative="1">
      <w:start w:val="1"/>
      <w:numFmt w:val="bullet"/>
      <w:lvlText w:val="•"/>
      <w:lvlJc w:val="left"/>
      <w:pPr>
        <w:tabs>
          <w:tab w:val="num" w:pos="3600"/>
        </w:tabs>
        <w:ind w:left="3600" w:hanging="360"/>
      </w:pPr>
      <w:rPr>
        <w:rFonts w:ascii="Arial" w:hAnsi="Arial" w:hint="default"/>
      </w:rPr>
    </w:lvl>
    <w:lvl w:ilvl="5" w:tplc="4E883A6E" w:tentative="1">
      <w:start w:val="1"/>
      <w:numFmt w:val="bullet"/>
      <w:lvlText w:val="•"/>
      <w:lvlJc w:val="left"/>
      <w:pPr>
        <w:tabs>
          <w:tab w:val="num" w:pos="4320"/>
        </w:tabs>
        <w:ind w:left="4320" w:hanging="360"/>
      </w:pPr>
      <w:rPr>
        <w:rFonts w:ascii="Arial" w:hAnsi="Arial" w:hint="default"/>
      </w:rPr>
    </w:lvl>
    <w:lvl w:ilvl="6" w:tplc="F8522102" w:tentative="1">
      <w:start w:val="1"/>
      <w:numFmt w:val="bullet"/>
      <w:lvlText w:val="•"/>
      <w:lvlJc w:val="left"/>
      <w:pPr>
        <w:tabs>
          <w:tab w:val="num" w:pos="5040"/>
        </w:tabs>
        <w:ind w:left="5040" w:hanging="360"/>
      </w:pPr>
      <w:rPr>
        <w:rFonts w:ascii="Arial" w:hAnsi="Arial" w:hint="default"/>
      </w:rPr>
    </w:lvl>
    <w:lvl w:ilvl="7" w:tplc="A3EE6C80" w:tentative="1">
      <w:start w:val="1"/>
      <w:numFmt w:val="bullet"/>
      <w:lvlText w:val="•"/>
      <w:lvlJc w:val="left"/>
      <w:pPr>
        <w:tabs>
          <w:tab w:val="num" w:pos="5760"/>
        </w:tabs>
        <w:ind w:left="5760" w:hanging="360"/>
      </w:pPr>
      <w:rPr>
        <w:rFonts w:ascii="Arial" w:hAnsi="Arial" w:hint="default"/>
      </w:rPr>
    </w:lvl>
    <w:lvl w:ilvl="8" w:tplc="D0C21C5A" w:tentative="1">
      <w:start w:val="1"/>
      <w:numFmt w:val="bullet"/>
      <w:lvlText w:val="•"/>
      <w:lvlJc w:val="left"/>
      <w:pPr>
        <w:tabs>
          <w:tab w:val="num" w:pos="6480"/>
        </w:tabs>
        <w:ind w:left="6480" w:hanging="360"/>
      </w:pPr>
      <w:rPr>
        <w:rFonts w:ascii="Arial" w:hAnsi="Arial" w:hint="default"/>
      </w:rPr>
    </w:lvl>
  </w:abstractNum>
  <w:abstractNum w:abstractNumId="7">
    <w:nsid w:val="2F626C3D"/>
    <w:multiLevelType w:val="hybridMultilevel"/>
    <w:tmpl w:val="5BCE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23CD2"/>
    <w:multiLevelType w:val="hybridMultilevel"/>
    <w:tmpl w:val="953A3E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084E3D"/>
    <w:multiLevelType w:val="hybridMultilevel"/>
    <w:tmpl w:val="395C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5F189A"/>
    <w:multiLevelType w:val="hybridMultilevel"/>
    <w:tmpl w:val="6A3ACAE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C541F1"/>
    <w:multiLevelType w:val="hybridMultilevel"/>
    <w:tmpl w:val="0AD035CC"/>
    <w:lvl w:ilvl="0" w:tplc="91FE4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FE2C69"/>
    <w:multiLevelType w:val="hybridMultilevel"/>
    <w:tmpl w:val="7A50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A61598"/>
    <w:multiLevelType w:val="hybridMultilevel"/>
    <w:tmpl w:val="59AA5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E64D14"/>
    <w:multiLevelType w:val="hybridMultilevel"/>
    <w:tmpl w:val="D8B2D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B96154"/>
    <w:multiLevelType w:val="hybridMultilevel"/>
    <w:tmpl w:val="89FAC9B4"/>
    <w:lvl w:ilvl="0" w:tplc="0409000B">
      <w:start w:val="1"/>
      <w:numFmt w:val="bullet"/>
      <w:lvlText w:val=""/>
      <w:lvlJc w:val="left"/>
      <w:pPr>
        <w:ind w:left="360" w:hanging="360"/>
      </w:pPr>
      <w:rPr>
        <w:rFonts w:ascii="Wingdings" w:hAnsi="Wingdings" w:hint="default"/>
      </w:rPr>
    </w:lvl>
    <w:lvl w:ilvl="1" w:tplc="0D0CD8F0">
      <w:start w:val="1"/>
      <w:numFmt w:val="bullet"/>
      <w:lvlText w:val=""/>
      <w:lvlJc w:val="left"/>
      <w:pPr>
        <w:ind w:left="1080" w:hanging="360"/>
      </w:pPr>
      <w:rPr>
        <w:rFonts w:ascii="Symbol" w:hAnsi="Symbol" w:hint="default"/>
        <w:b w:val="0"/>
        <w:i w:val="0"/>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F863865"/>
    <w:multiLevelType w:val="hybridMultilevel"/>
    <w:tmpl w:val="8126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7C713D"/>
    <w:multiLevelType w:val="hybridMultilevel"/>
    <w:tmpl w:val="C8C25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14"/>
  </w:num>
  <w:num w:numId="4">
    <w:abstractNumId w:val="2"/>
  </w:num>
  <w:num w:numId="5">
    <w:abstractNumId w:val="5"/>
  </w:num>
  <w:num w:numId="6">
    <w:abstractNumId w:val="10"/>
  </w:num>
  <w:num w:numId="7">
    <w:abstractNumId w:val="0"/>
  </w:num>
  <w:num w:numId="8">
    <w:abstractNumId w:val="15"/>
  </w:num>
  <w:num w:numId="9">
    <w:abstractNumId w:val="12"/>
  </w:num>
  <w:num w:numId="10">
    <w:abstractNumId w:val="6"/>
  </w:num>
  <w:num w:numId="11">
    <w:abstractNumId w:val="13"/>
  </w:num>
  <w:num w:numId="12">
    <w:abstractNumId w:val="1"/>
  </w:num>
  <w:num w:numId="13">
    <w:abstractNumId w:val="7"/>
  </w:num>
  <w:num w:numId="14">
    <w:abstractNumId w:val="11"/>
  </w:num>
  <w:num w:numId="15">
    <w:abstractNumId w:val="16"/>
  </w:num>
  <w:num w:numId="16">
    <w:abstractNumId w:val="9"/>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13B"/>
    <w:rsid w:val="00003100"/>
    <w:rsid w:val="00006AFD"/>
    <w:rsid w:val="00021782"/>
    <w:rsid w:val="00026C79"/>
    <w:rsid w:val="00033E1C"/>
    <w:rsid w:val="00046DB0"/>
    <w:rsid w:val="00047088"/>
    <w:rsid w:val="00051E6B"/>
    <w:rsid w:val="00053DB9"/>
    <w:rsid w:val="00066456"/>
    <w:rsid w:val="00086D9D"/>
    <w:rsid w:val="00097E02"/>
    <w:rsid w:val="000A6C66"/>
    <w:rsid w:val="000B280D"/>
    <w:rsid w:val="000B3716"/>
    <w:rsid w:val="000B6131"/>
    <w:rsid w:val="000C0D2D"/>
    <w:rsid w:val="000C35A5"/>
    <w:rsid w:val="000C5E04"/>
    <w:rsid w:val="000C6E74"/>
    <w:rsid w:val="000D5FE1"/>
    <w:rsid w:val="000D7AD4"/>
    <w:rsid w:val="000E066F"/>
    <w:rsid w:val="000F667F"/>
    <w:rsid w:val="001034BB"/>
    <w:rsid w:val="00104961"/>
    <w:rsid w:val="00105364"/>
    <w:rsid w:val="00107C92"/>
    <w:rsid w:val="00114C65"/>
    <w:rsid w:val="001173D5"/>
    <w:rsid w:val="0012168B"/>
    <w:rsid w:val="0012170D"/>
    <w:rsid w:val="00124F1E"/>
    <w:rsid w:val="00130314"/>
    <w:rsid w:val="001309E6"/>
    <w:rsid w:val="00133836"/>
    <w:rsid w:val="001521D1"/>
    <w:rsid w:val="0015221F"/>
    <w:rsid w:val="0015295E"/>
    <w:rsid w:val="001565FD"/>
    <w:rsid w:val="00164817"/>
    <w:rsid w:val="001774A5"/>
    <w:rsid w:val="001828A9"/>
    <w:rsid w:val="00184A3F"/>
    <w:rsid w:val="0019691C"/>
    <w:rsid w:val="00197039"/>
    <w:rsid w:val="0019779D"/>
    <w:rsid w:val="001A2AA7"/>
    <w:rsid w:val="001A3885"/>
    <w:rsid w:val="001B0113"/>
    <w:rsid w:val="001B1456"/>
    <w:rsid w:val="001B589D"/>
    <w:rsid w:val="001C38CD"/>
    <w:rsid w:val="001D1B62"/>
    <w:rsid w:val="001D4383"/>
    <w:rsid w:val="001D4751"/>
    <w:rsid w:val="001D798E"/>
    <w:rsid w:val="001E2542"/>
    <w:rsid w:val="001E36E1"/>
    <w:rsid w:val="001F1605"/>
    <w:rsid w:val="002045A4"/>
    <w:rsid w:val="00205ACD"/>
    <w:rsid w:val="00215823"/>
    <w:rsid w:val="00217D2B"/>
    <w:rsid w:val="00220051"/>
    <w:rsid w:val="00224B04"/>
    <w:rsid w:val="00227D1E"/>
    <w:rsid w:val="002309F0"/>
    <w:rsid w:val="00231153"/>
    <w:rsid w:val="00232996"/>
    <w:rsid w:val="00235B01"/>
    <w:rsid w:val="00237BB8"/>
    <w:rsid w:val="002422B9"/>
    <w:rsid w:val="00251624"/>
    <w:rsid w:val="002520BE"/>
    <w:rsid w:val="002533BE"/>
    <w:rsid w:val="00254D4F"/>
    <w:rsid w:val="00255283"/>
    <w:rsid w:val="00265838"/>
    <w:rsid w:val="00283080"/>
    <w:rsid w:val="00285B5F"/>
    <w:rsid w:val="00294AD3"/>
    <w:rsid w:val="002950B8"/>
    <w:rsid w:val="002A22B5"/>
    <w:rsid w:val="002A2A54"/>
    <w:rsid w:val="002A2B0D"/>
    <w:rsid w:val="002A54A7"/>
    <w:rsid w:val="002A5768"/>
    <w:rsid w:val="002A71DC"/>
    <w:rsid w:val="002B1061"/>
    <w:rsid w:val="002B7C9C"/>
    <w:rsid w:val="002C5D29"/>
    <w:rsid w:val="002C7C85"/>
    <w:rsid w:val="002D7E92"/>
    <w:rsid w:val="002E3E81"/>
    <w:rsid w:val="002E77E0"/>
    <w:rsid w:val="002F0184"/>
    <w:rsid w:val="002F1C52"/>
    <w:rsid w:val="002F236C"/>
    <w:rsid w:val="002F2D19"/>
    <w:rsid w:val="002F76A7"/>
    <w:rsid w:val="0030128E"/>
    <w:rsid w:val="0030398E"/>
    <w:rsid w:val="00307654"/>
    <w:rsid w:val="00317EB4"/>
    <w:rsid w:val="00320777"/>
    <w:rsid w:val="00320DF3"/>
    <w:rsid w:val="003234D8"/>
    <w:rsid w:val="00323BDD"/>
    <w:rsid w:val="00354529"/>
    <w:rsid w:val="00365DB9"/>
    <w:rsid w:val="00366684"/>
    <w:rsid w:val="00382C14"/>
    <w:rsid w:val="003970E1"/>
    <w:rsid w:val="003972B8"/>
    <w:rsid w:val="003A276D"/>
    <w:rsid w:val="003B18D0"/>
    <w:rsid w:val="003B3F0A"/>
    <w:rsid w:val="003C0B6E"/>
    <w:rsid w:val="003D799D"/>
    <w:rsid w:val="003E0CE1"/>
    <w:rsid w:val="003E16CD"/>
    <w:rsid w:val="003E33AF"/>
    <w:rsid w:val="003E784C"/>
    <w:rsid w:val="003E7C6A"/>
    <w:rsid w:val="003F780E"/>
    <w:rsid w:val="00401DC3"/>
    <w:rsid w:val="00405094"/>
    <w:rsid w:val="004270B5"/>
    <w:rsid w:val="004278A9"/>
    <w:rsid w:val="00427D52"/>
    <w:rsid w:val="00431A1C"/>
    <w:rsid w:val="00441254"/>
    <w:rsid w:val="00451E01"/>
    <w:rsid w:val="00465910"/>
    <w:rsid w:val="00472BC7"/>
    <w:rsid w:val="00472D8C"/>
    <w:rsid w:val="0047680F"/>
    <w:rsid w:val="00481813"/>
    <w:rsid w:val="00482A58"/>
    <w:rsid w:val="00483443"/>
    <w:rsid w:val="00492901"/>
    <w:rsid w:val="004A16BA"/>
    <w:rsid w:val="004A17A1"/>
    <w:rsid w:val="004A59FE"/>
    <w:rsid w:val="004B19FA"/>
    <w:rsid w:val="004B76DC"/>
    <w:rsid w:val="004C0584"/>
    <w:rsid w:val="004C0EA7"/>
    <w:rsid w:val="004C266D"/>
    <w:rsid w:val="004C2832"/>
    <w:rsid w:val="004C59C2"/>
    <w:rsid w:val="004D3D29"/>
    <w:rsid w:val="004E21A0"/>
    <w:rsid w:val="004E3B9B"/>
    <w:rsid w:val="004F2914"/>
    <w:rsid w:val="00503704"/>
    <w:rsid w:val="00504887"/>
    <w:rsid w:val="00511D91"/>
    <w:rsid w:val="00513493"/>
    <w:rsid w:val="0051757D"/>
    <w:rsid w:val="00533F6E"/>
    <w:rsid w:val="00534E7A"/>
    <w:rsid w:val="005350A4"/>
    <w:rsid w:val="00535B92"/>
    <w:rsid w:val="00535BD7"/>
    <w:rsid w:val="00542DCF"/>
    <w:rsid w:val="00544104"/>
    <w:rsid w:val="00546CAC"/>
    <w:rsid w:val="005538F0"/>
    <w:rsid w:val="005542BE"/>
    <w:rsid w:val="00556F75"/>
    <w:rsid w:val="005644F0"/>
    <w:rsid w:val="00570F14"/>
    <w:rsid w:val="0057453F"/>
    <w:rsid w:val="005779EB"/>
    <w:rsid w:val="00583239"/>
    <w:rsid w:val="00585463"/>
    <w:rsid w:val="0059130A"/>
    <w:rsid w:val="00592C32"/>
    <w:rsid w:val="00593B65"/>
    <w:rsid w:val="00595002"/>
    <w:rsid w:val="005972C1"/>
    <w:rsid w:val="00597D1E"/>
    <w:rsid w:val="005A7BF9"/>
    <w:rsid w:val="005B1B33"/>
    <w:rsid w:val="005B22F4"/>
    <w:rsid w:val="005B41C0"/>
    <w:rsid w:val="005B7630"/>
    <w:rsid w:val="005C0DF3"/>
    <w:rsid w:val="005C691C"/>
    <w:rsid w:val="005E117A"/>
    <w:rsid w:val="005E6566"/>
    <w:rsid w:val="005F0FE8"/>
    <w:rsid w:val="005F2329"/>
    <w:rsid w:val="005F263F"/>
    <w:rsid w:val="005F3A25"/>
    <w:rsid w:val="005F60BC"/>
    <w:rsid w:val="00600D6B"/>
    <w:rsid w:val="00603600"/>
    <w:rsid w:val="00603701"/>
    <w:rsid w:val="00605928"/>
    <w:rsid w:val="00607F42"/>
    <w:rsid w:val="0061044D"/>
    <w:rsid w:val="00611561"/>
    <w:rsid w:val="0061496B"/>
    <w:rsid w:val="00615DFD"/>
    <w:rsid w:val="00627A82"/>
    <w:rsid w:val="00627D89"/>
    <w:rsid w:val="00635E57"/>
    <w:rsid w:val="00664BF0"/>
    <w:rsid w:val="006743EC"/>
    <w:rsid w:val="0068420A"/>
    <w:rsid w:val="00685D08"/>
    <w:rsid w:val="00693536"/>
    <w:rsid w:val="0069679D"/>
    <w:rsid w:val="006974E7"/>
    <w:rsid w:val="006A1299"/>
    <w:rsid w:val="006A4090"/>
    <w:rsid w:val="006A4F4F"/>
    <w:rsid w:val="006B164B"/>
    <w:rsid w:val="006C083C"/>
    <w:rsid w:val="006C2122"/>
    <w:rsid w:val="006D27DE"/>
    <w:rsid w:val="006F2FDF"/>
    <w:rsid w:val="006F4A12"/>
    <w:rsid w:val="00714D46"/>
    <w:rsid w:val="0071661C"/>
    <w:rsid w:val="007225CD"/>
    <w:rsid w:val="007233A4"/>
    <w:rsid w:val="00730AD4"/>
    <w:rsid w:val="00730CA7"/>
    <w:rsid w:val="00737F54"/>
    <w:rsid w:val="00747ED1"/>
    <w:rsid w:val="00751FA6"/>
    <w:rsid w:val="00752238"/>
    <w:rsid w:val="007547D6"/>
    <w:rsid w:val="007565BF"/>
    <w:rsid w:val="00756EBD"/>
    <w:rsid w:val="00767812"/>
    <w:rsid w:val="0077745B"/>
    <w:rsid w:val="0078085C"/>
    <w:rsid w:val="007824F0"/>
    <w:rsid w:val="00783E47"/>
    <w:rsid w:val="00786871"/>
    <w:rsid w:val="00792436"/>
    <w:rsid w:val="00794936"/>
    <w:rsid w:val="007A711B"/>
    <w:rsid w:val="007A72A4"/>
    <w:rsid w:val="007B0633"/>
    <w:rsid w:val="007C1CDB"/>
    <w:rsid w:val="007C2ECC"/>
    <w:rsid w:val="007D1DCD"/>
    <w:rsid w:val="007D4D2E"/>
    <w:rsid w:val="007E0304"/>
    <w:rsid w:val="007E237F"/>
    <w:rsid w:val="007E4775"/>
    <w:rsid w:val="007E4B46"/>
    <w:rsid w:val="007E59DD"/>
    <w:rsid w:val="008008C0"/>
    <w:rsid w:val="008052D6"/>
    <w:rsid w:val="00805848"/>
    <w:rsid w:val="00806385"/>
    <w:rsid w:val="00812430"/>
    <w:rsid w:val="00813030"/>
    <w:rsid w:val="00823275"/>
    <w:rsid w:val="00830ADA"/>
    <w:rsid w:val="00832AAA"/>
    <w:rsid w:val="00843D5B"/>
    <w:rsid w:val="00845BEA"/>
    <w:rsid w:val="00863D8E"/>
    <w:rsid w:val="0087486B"/>
    <w:rsid w:val="00875D3A"/>
    <w:rsid w:val="00876AF0"/>
    <w:rsid w:val="00877298"/>
    <w:rsid w:val="00877BBD"/>
    <w:rsid w:val="008830D6"/>
    <w:rsid w:val="00886BE0"/>
    <w:rsid w:val="00891A4C"/>
    <w:rsid w:val="00891F25"/>
    <w:rsid w:val="008A392A"/>
    <w:rsid w:val="008A4222"/>
    <w:rsid w:val="008A4DE0"/>
    <w:rsid w:val="008A54A1"/>
    <w:rsid w:val="008B0C1E"/>
    <w:rsid w:val="008B1327"/>
    <w:rsid w:val="008B2208"/>
    <w:rsid w:val="008B7D57"/>
    <w:rsid w:val="008C516A"/>
    <w:rsid w:val="008D12EE"/>
    <w:rsid w:val="008E0B9E"/>
    <w:rsid w:val="008E162A"/>
    <w:rsid w:val="008E19F6"/>
    <w:rsid w:val="008F2DA8"/>
    <w:rsid w:val="008F5D6E"/>
    <w:rsid w:val="00906A46"/>
    <w:rsid w:val="00910134"/>
    <w:rsid w:val="0091304A"/>
    <w:rsid w:val="009142CC"/>
    <w:rsid w:val="00914EB5"/>
    <w:rsid w:val="00916DE7"/>
    <w:rsid w:val="00924B9E"/>
    <w:rsid w:val="00925343"/>
    <w:rsid w:val="00927B91"/>
    <w:rsid w:val="00934F2C"/>
    <w:rsid w:val="009363E1"/>
    <w:rsid w:val="009470B3"/>
    <w:rsid w:val="009528AC"/>
    <w:rsid w:val="00952C2E"/>
    <w:rsid w:val="009569E4"/>
    <w:rsid w:val="0095790E"/>
    <w:rsid w:val="0099337F"/>
    <w:rsid w:val="009A06B8"/>
    <w:rsid w:val="009A674E"/>
    <w:rsid w:val="009B0D2F"/>
    <w:rsid w:val="009B1DED"/>
    <w:rsid w:val="009B480A"/>
    <w:rsid w:val="009B5E40"/>
    <w:rsid w:val="009B7647"/>
    <w:rsid w:val="009C071B"/>
    <w:rsid w:val="009C175D"/>
    <w:rsid w:val="009C1965"/>
    <w:rsid w:val="009D0255"/>
    <w:rsid w:val="009E21FE"/>
    <w:rsid w:val="009F7035"/>
    <w:rsid w:val="009F74F0"/>
    <w:rsid w:val="00A03F07"/>
    <w:rsid w:val="00A0773C"/>
    <w:rsid w:val="00A1155A"/>
    <w:rsid w:val="00A15575"/>
    <w:rsid w:val="00A17730"/>
    <w:rsid w:val="00A25DD8"/>
    <w:rsid w:val="00A3329A"/>
    <w:rsid w:val="00A349AA"/>
    <w:rsid w:val="00A40825"/>
    <w:rsid w:val="00A53AF3"/>
    <w:rsid w:val="00A5601F"/>
    <w:rsid w:val="00A628F7"/>
    <w:rsid w:val="00A63621"/>
    <w:rsid w:val="00A65CDF"/>
    <w:rsid w:val="00A7115B"/>
    <w:rsid w:val="00A7467D"/>
    <w:rsid w:val="00A77638"/>
    <w:rsid w:val="00A80237"/>
    <w:rsid w:val="00A80B89"/>
    <w:rsid w:val="00A81FC0"/>
    <w:rsid w:val="00A93934"/>
    <w:rsid w:val="00AA3374"/>
    <w:rsid w:val="00AA7672"/>
    <w:rsid w:val="00AB3BCA"/>
    <w:rsid w:val="00AB717E"/>
    <w:rsid w:val="00AC0BA8"/>
    <w:rsid w:val="00AC400F"/>
    <w:rsid w:val="00AD0517"/>
    <w:rsid w:val="00AD4845"/>
    <w:rsid w:val="00AD5607"/>
    <w:rsid w:val="00AE4ECD"/>
    <w:rsid w:val="00AE6C31"/>
    <w:rsid w:val="00AF3EEB"/>
    <w:rsid w:val="00AF5120"/>
    <w:rsid w:val="00B02A9A"/>
    <w:rsid w:val="00B0531A"/>
    <w:rsid w:val="00B06219"/>
    <w:rsid w:val="00B100AD"/>
    <w:rsid w:val="00B10C95"/>
    <w:rsid w:val="00B151B1"/>
    <w:rsid w:val="00B16AFF"/>
    <w:rsid w:val="00B17696"/>
    <w:rsid w:val="00B2232E"/>
    <w:rsid w:val="00B30B46"/>
    <w:rsid w:val="00B332E1"/>
    <w:rsid w:val="00B3334D"/>
    <w:rsid w:val="00B360D6"/>
    <w:rsid w:val="00B36F12"/>
    <w:rsid w:val="00B404FA"/>
    <w:rsid w:val="00B45DEE"/>
    <w:rsid w:val="00B562FE"/>
    <w:rsid w:val="00B60061"/>
    <w:rsid w:val="00B718DC"/>
    <w:rsid w:val="00B722D3"/>
    <w:rsid w:val="00B8267B"/>
    <w:rsid w:val="00B84210"/>
    <w:rsid w:val="00B97464"/>
    <w:rsid w:val="00BB38A4"/>
    <w:rsid w:val="00BB514A"/>
    <w:rsid w:val="00BB5E4C"/>
    <w:rsid w:val="00BC6ABF"/>
    <w:rsid w:val="00BD1BE8"/>
    <w:rsid w:val="00BD3725"/>
    <w:rsid w:val="00BE25B4"/>
    <w:rsid w:val="00BE3204"/>
    <w:rsid w:val="00BE3EE9"/>
    <w:rsid w:val="00BE7BB9"/>
    <w:rsid w:val="00BF43DE"/>
    <w:rsid w:val="00BF4B6A"/>
    <w:rsid w:val="00BF4EFA"/>
    <w:rsid w:val="00C005AB"/>
    <w:rsid w:val="00C03007"/>
    <w:rsid w:val="00C04EF6"/>
    <w:rsid w:val="00C04FDF"/>
    <w:rsid w:val="00C05E37"/>
    <w:rsid w:val="00C07667"/>
    <w:rsid w:val="00C13BA4"/>
    <w:rsid w:val="00C16773"/>
    <w:rsid w:val="00C16FAF"/>
    <w:rsid w:val="00C26796"/>
    <w:rsid w:val="00C26D0D"/>
    <w:rsid w:val="00C318BB"/>
    <w:rsid w:val="00C320B4"/>
    <w:rsid w:val="00C46CAB"/>
    <w:rsid w:val="00C472ED"/>
    <w:rsid w:val="00C47D2C"/>
    <w:rsid w:val="00C51824"/>
    <w:rsid w:val="00C5237A"/>
    <w:rsid w:val="00C60DB3"/>
    <w:rsid w:val="00C619AC"/>
    <w:rsid w:val="00C61EA0"/>
    <w:rsid w:val="00C67EA7"/>
    <w:rsid w:val="00C71A22"/>
    <w:rsid w:val="00C71D46"/>
    <w:rsid w:val="00C73518"/>
    <w:rsid w:val="00C74907"/>
    <w:rsid w:val="00C81C86"/>
    <w:rsid w:val="00C8408A"/>
    <w:rsid w:val="00C86953"/>
    <w:rsid w:val="00C87084"/>
    <w:rsid w:val="00C921EE"/>
    <w:rsid w:val="00C94EEF"/>
    <w:rsid w:val="00CA3852"/>
    <w:rsid w:val="00CA513B"/>
    <w:rsid w:val="00CA6278"/>
    <w:rsid w:val="00CA7F6A"/>
    <w:rsid w:val="00CB15B7"/>
    <w:rsid w:val="00CB1610"/>
    <w:rsid w:val="00CB6251"/>
    <w:rsid w:val="00CB71AA"/>
    <w:rsid w:val="00CB7EA8"/>
    <w:rsid w:val="00CC02B4"/>
    <w:rsid w:val="00CC03EA"/>
    <w:rsid w:val="00CC4CF1"/>
    <w:rsid w:val="00CC602F"/>
    <w:rsid w:val="00CC6A19"/>
    <w:rsid w:val="00CD0A64"/>
    <w:rsid w:val="00CD5713"/>
    <w:rsid w:val="00CD6466"/>
    <w:rsid w:val="00CE1596"/>
    <w:rsid w:val="00CE3EBA"/>
    <w:rsid w:val="00CE623A"/>
    <w:rsid w:val="00CF5465"/>
    <w:rsid w:val="00D01259"/>
    <w:rsid w:val="00D1116E"/>
    <w:rsid w:val="00D12D58"/>
    <w:rsid w:val="00D1384F"/>
    <w:rsid w:val="00D14B22"/>
    <w:rsid w:val="00D15570"/>
    <w:rsid w:val="00D15958"/>
    <w:rsid w:val="00D16086"/>
    <w:rsid w:val="00D16C1B"/>
    <w:rsid w:val="00D26BCB"/>
    <w:rsid w:val="00D32899"/>
    <w:rsid w:val="00D334BD"/>
    <w:rsid w:val="00D35C73"/>
    <w:rsid w:val="00D379AA"/>
    <w:rsid w:val="00D41348"/>
    <w:rsid w:val="00D4170A"/>
    <w:rsid w:val="00D47FDE"/>
    <w:rsid w:val="00D5538C"/>
    <w:rsid w:val="00D6261D"/>
    <w:rsid w:val="00D76C78"/>
    <w:rsid w:val="00D8024D"/>
    <w:rsid w:val="00D806FD"/>
    <w:rsid w:val="00D82463"/>
    <w:rsid w:val="00D863D5"/>
    <w:rsid w:val="00D90938"/>
    <w:rsid w:val="00D90976"/>
    <w:rsid w:val="00D939BC"/>
    <w:rsid w:val="00D94C34"/>
    <w:rsid w:val="00DA04B5"/>
    <w:rsid w:val="00DA12FD"/>
    <w:rsid w:val="00DA34FA"/>
    <w:rsid w:val="00DA61C4"/>
    <w:rsid w:val="00DB1A00"/>
    <w:rsid w:val="00DB35D6"/>
    <w:rsid w:val="00DB5F72"/>
    <w:rsid w:val="00DC2ABE"/>
    <w:rsid w:val="00DC45C1"/>
    <w:rsid w:val="00DC7D65"/>
    <w:rsid w:val="00DD1237"/>
    <w:rsid w:val="00DD42D5"/>
    <w:rsid w:val="00DD55F3"/>
    <w:rsid w:val="00DD65F7"/>
    <w:rsid w:val="00DE3859"/>
    <w:rsid w:val="00DF4565"/>
    <w:rsid w:val="00E02E28"/>
    <w:rsid w:val="00E037B1"/>
    <w:rsid w:val="00E04405"/>
    <w:rsid w:val="00E10CE0"/>
    <w:rsid w:val="00E11F71"/>
    <w:rsid w:val="00E20E41"/>
    <w:rsid w:val="00E32CBA"/>
    <w:rsid w:val="00E339A4"/>
    <w:rsid w:val="00E3596C"/>
    <w:rsid w:val="00E40F7B"/>
    <w:rsid w:val="00E4422C"/>
    <w:rsid w:val="00E51260"/>
    <w:rsid w:val="00E535AD"/>
    <w:rsid w:val="00E56E9B"/>
    <w:rsid w:val="00E57983"/>
    <w:rsid w:val="00E61F8F"/>
    <w:rsid w:val="00E64589"/>
    <w:rsid w:val="00E83854"/>
    <w:rsid w:val="00E83E5A"/>
    <w:rsid w:val="00E90849"/>
    <w:rsid w:val="00E91CC0"/>
    <w:rsid w:val="00EA7500"/>
    <w:rsid w:val="00EA7E70"/>
    <w:rsid w:val="00EB3D4C"/>
    <w:rsid w:val="00EB6509"/>
    <w:rsid w:val="00EC0CBA"/>
    <w:rsid w:val="00EC108A"/>
    <w:rsid w:val="00EC14ED"/>
    <w:rsid w:val="00EC3095"/>
    <w:rsid w:val="00EC356A"/>
    <w:rsid w:val="00EC40B8"/>
    <w:rsid w:val="00EC52FD"/>
    <w:rsid w:val="00EC751B"/>
    <w:rsid w:val="00EE155B"/>
    <w:rsid w:val="00EE2F17"/>
    <w:rsid w:val="00EE3ED1"/>
    <w:rsid w:val="00EE7B31"/>
    <w:rsid w:val="00EF08EB"/>
    <w:rsid w:val="00EF3B9E"/>
    <w:rsid w:val="00EF45EE"/>
    <w:rsid w:val="00F03098"/>
    <w:rsid w:val="00F05A55"/>
    <w:rsid w:val="00F12884"/>
    <w:rsid w:val="00F16C5D"/>
    <w:rsid w:val="00F2282F"/>
    <w:rsid w:val="00F23DD7"/>
    <w:rsid w:val="00F3282C"/>
    <w:rsid w:val="00F60C73"/>
    <w:rsid w:val="00F61704"/>
    <w:rsid w:val="00F61F9E"/>
    <w:rsid w:val="00F656FC"/>
    <w:rsid w:val="00F71A33"/>
    <w:rsid w:val="00F745A6"/>
    <w:rsid w:val="00F74A3C"/>
    <w:rsid w:val="00F82204"/>
    <w:rsid w:val="00F84999"/>
    <w:rsid w:val="00FA2661"/>
    <w:rsid w:val="00FA429D"/>
    <w:rsid w:val="00FA65AF"/>
    <w:rsid w:val="00FB17D7"/>
    <w:rsid w:val="00FB42CE"/>
    <w:rsid w:val="00FB68BC"/>
    <w:rsid w:val="00FB6993"/>
    <w:rsid w:val="00FC3A6F"/>
    <w:rsid w:val="00FC618E"/>
    <w:rsid w:val="00FE5354"/>
    <w:rsid w:val="00FE6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6D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13B"/>
    <w:rPr>
      <w:rFonts w:ascii="Tahoma" w:hAnsi="Tahoma" w:cs="Tahoma"/>
      <w:sz w:val="16"/>
      <w:szCs w:val="16"/>
    </w:rPr>
  </w:style>
  <w:style w:type="character" w:styleId="Strong">
    <w:name w:val="Strong"/>
    <w:basedOn w:val="DefaultParagraphFont"/>
    <w:qFormat/>
    <w:rsid w:val="00CA513B"/>
    <w:rPr>
      <w:b/>
      <w:bCs/>
    </w:rPr>
  </w:style>
  <w:style w:type="paragraph" w:styleId="NoSpacing">
    <w:name w:val="No Spacing"/>
    <w:uiPriority w:val="1"/>
    <w:qFormat/>
    <w:rsid w:val="00CA513B"/>
    <w:pPr>
      <w:spacing w:after="0" w:line="240" w:lineRule="auto"/>
    </w:pPr>
  </w:style>
  <w:style w:type="character" w:styleId="Hyperlink">
    <w:name w:val="Hyperlink"/>
    <w:basedOn w:val="DefaultParagraphFont"/>
    <w:uiPriority w:val="99"/>
    <w:unhideWhenUsed/>
    <w:rsid w:val="00CA513B"/>
    <w:rPr>
      <w:color w:val="0000FF" w:themeColor="hyperlink"/>
      <w:u w:val="single"/>
    </w:rPr>
  </w:style>
  <w:style w:type="table" w:styleId="TableGrid">
    <w:name w:val="Table Grid"/>
    <w:basedOn w:val="TableNormal"/>
    <w:uiPriority w:val="59"/>
    <w:rsid w:val="00217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l1">
    <w:name w:val="Formal1"/>
    <w:basedOn w:val="Normal"/>
    <w:rsid w:val="00B562FE"/>
    <w:pPr>
      <w:spacing w:before="60" w:after="6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562FE"/>
    <w:pPr>
      <w:spacing w:after="0" w:line="240" w:lineRule="auto"/>
      <w:ind w:left="720"/>
    </w:pPr>
    <w:rPr>
      <w:rFonts w:ascii="Calibri" w:eastAsia="Calibri" w:hAnsi="Calibri" w:cs="Times New Roman"/>
    </w:rPr>
  </w:style>
  <w:style w:type="table" w:customStyle="1" w:styleId="TableGrid1">
    <w:name w:val="Table Grid1"/>
    <w:basedOn w:val="TableNormal"/>
    <w:next w:val="TableGrid"/>
    <w:rsid w:val="007522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2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8AC"/>
  </w:style>
  <w:style w:type="paragraph" w:styleId="Footer">
    <w:name w:val="footer"/>
    <w:basedOn w:val="Normal"/>
    <w:link w:val="FooterChar"/>
    <w:uiPriority w:val="99"/>
    <w:unhideWhenUsed/>
    <w:rsid w:val="00952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8AC"/>
  </w:style>
  <w:style w:type="paragraph" w:styleId="NormalWeb">
    <w:name w:val="Normal (Web)"/>
    <w:basedOn w:val="Normal"/>
    <w:uiPriority w:val="99"/>
    <w:semiHidden/>
    <w:unhideWhenUsed/>
    <w:rsid w:val="00C921E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rsid w:val="00DC2A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939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13B"/>
    <w:rPr>
      <w:rFonts w:ascii="Tahoma" w:hAnsi="Tahoma" w:cs="Tahoma"/>
      <w:sz w:val="16"/>
      <w:szCs w:val="16"/>
    </w:rPr>
  </w:style>
  <w:style w:type="character" w:styleId="Strong">
    <w:name w:val="Strong"/>
    <w:basedOn w:val="DefaultParagraphFont"/>
    <w:qFormat/>
    <w:rsid w:val="00CA513B"/>
    <w:rPr>
      <w:b/>
      <w:bCs/>
    </w:rPr>
  </w:style>
  <w:style w:type="paragraph" w:styleId="NoSpacing">
    <w:name w:val="No Spacing"/>
    <w:uiPriority w:val="1"/>
    <w:qFormat/>
    <w:rsid w:val="00CA513B"/>
    <w:pPr>
      <w:spacing w:after="0" w:line="240" w:lineRule="auto"/>
    </w:pPr>
  </w:style>
  <w:style w:type="character" w:styleId="Hyperlink">
    <w:name w:val="Hyperlink"/>
    <w:basedOn w:val="DefaultParagraphFont"/>
    <w:uiPriority w:val="99"/>
    <w:unhideWhenUsed/>
    <w:rsid w:val="00CA513B"/>
    <w:rPr>
      <w:color w:val="0000FF" w:themeColor="hyperlink"/>
      <w:u w:val="single"/>
    </w:rPr>
  </w:style>
  <w:style w:type="table" w:styleId="TableGrid">
    <w:name w:val="Table Grid"/>
    <w:basedOn w:val="TableNormal"/>
    <w:uiPriority w:val="59"/>
    <w:rsid w:val="00217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l1">
    <w:name w:val="Formal1"/>
    <w:basedOn w:val="Normal"/>
    <w:rsid w:val="00B562FE"/>
    <w:pPr>
      <w:spacing w:before="60" w:after="6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562FE"/>
    <w:pPr>
      <w:spacing w:after="0" w:line="240" w:lineRule="auto"/>
      <w:ind w:left="720"/>
    </w:pPr>
    <w:rPr>
      <w:rFonts w:ascii="Calibri" w:eastAsia="Calibri" w:hAnsi="Calibri" w:cs="Times New Roman"/>
    </w:rPr>
  </w:style>
  <w:style w:type="table" w:customStyle="1" w:styleId="TableGrid1">
    <w:name w:val="Table Grid1"/>
    <w:basedOn w:val="TableNormal"/>
    <w:next w:val="TableGrid"/>
    <w:rsid w:val="007522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2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8AC"/>
  </w:style>
  <w:style w:type="paragraph" w:styleId="Footer">
    <w:name w:val="footer"/>
    <w:basedOn w:val="Normal"/>
    <w:link w:val="FooterChar"/>
    <w:uiPriority w:val="99"/>
    <w:unhideWhenUsed/>
    <w:rsid w:val="00952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8AC"/>
  </w:style>
  <w:style w:type="paragraph" w:styleId="NormalWeb">
    <w:name w:val="Normal (Web)"/>
    <w:basedOn w:val="Normal"/>
    <w:uiPriority w:val="99"/>
    <w:semiHidden/>
    <w:unhideWhenUsed/>
    <w:rsid w:val="00C921E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rsid w:val="00DC2A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939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721941">
      <w:bodyDiv w:val="1"/>
      <w:marLeft w:val="0"/>
      <w:marRight w:val="0"/>
      <w:marTop w:val="0"/>
      <w:marBottom w:val="0"/>
      <w:divBdr>
        <w:top w:val="none" w:sz="0" w:space="0" w:color="auto"/>
        <w:left w:val="none" w:sz="0" w:space="0" w:color="auto"/>
        <w:bottom w:val="none" w:sz="0" w:space="0" w:color="auto"/>
        <w:right w:val="none" w:sz="0" w:space="0" w:color="auto"/>
      </w:divBdr>
    </w:div>
    <w:div w:id="1222205642">
      <w:bodyDiv w:val="1"/>
      <w:marLeft w:val="0"/>
      <w:marRight w:val="0"/>
      <w:marTop w:val="0"/>
      <w:marBottom w:val="0"/>
      <w:divBdr>
        <w:top w:val="none" w:sz="0" w:space="0" w:color="auto"/>
        <w:left w:val="none" w:sz="0" w:space="0" w:color="auto"/>
        <w:bottom w:val="none" w:sz="0" w:space="0" w:color="auto"/>
        <w:right w:val="none" w:sz="0" w:space="0" w:color="auto"/>
      </w:divBdr>
      <w:divsChild>
        <w:div w:id="1085224496">
          <w:marLeft w:val="547"/>
          <w:marRight w:val="0"/>
          <w:marTop w:val="115"/>
          <w:marBottom w:val="0"/>
          <w:divBdr>
            <w:top w:val="none" w:sz="0" w:space="0" w:color="auto"/>
            <w:left w:val="none" w:sz="0" w:space="0" w:color="auto"/>
            <w:bottom w:val="none" w:sz="0" w:space="0" w:color="auto"/>
            <w:right w:val="none" w:sz="0" w:space="0" w:color="auto"/>
          </w:divBdr>
        </w:div>
        <w:div w:id="1425876781">
          <w:marLeft w:val="547"/>
          <w:marRight w:val="0"/>
          <w:marTop w:val="115"/>
          <w:marBottom w:val="0"/>
          <w:divBdr>
            <w:top w:val="none" w:sz="0" w:space="0" w:color="auto"/>
            <w:left w:val="none" w:sz="0" w:space="0" w:color="auto"/>
            <w:bottom w:val="none" w:sz="0" w:space="0" w:color="auto"/>
            <w:right w:val="none" w:sz="0" w:space="0" w:color="auto"/>
          </w:divBdr>
        </w:div>
        <w:div w:id="1539009268">
          <w:marLeft w:val="1166"/>
          <w:marRight w:val="0"/>
          <w:marTop w:val="96"/>
          <w:marBottom w:val="0"/>
          <w:divBdr>
            <w:top w:val="none" w:sz="0" w:space="0" w:color="auto"/>
            <w:left w:val="none" w:sz="0" w:space="0" w:color="auto"/>
            <w:bottom w:val="none" w:sz="0" w:space="0" w:color="auto"/>
            <w:right w:val="none" w:sz="0" w:space="0" w:color="auto"/>
          </w:divBdr>
        </w:div>
        <w:div w:id="1025180986">
          <w:marLeft w:val="1166"/>
          <w:marRight w:val="0"/>
          <w:marTop w:val="96"/>
          <w:marBottom w:val="0"/>
          <w:divBdr>
            <w:top w:val="none" w:sz="0" w:space="0" w:color="auto"/>
            <w:left w:val="none" w:sz="0" w:space="0" w:color="auto"/>
            <w:bottom w:val="none" w:sz="0" w:space="0" w:color="auto"/>
            <w:right w:val="none" w:sz="0" w:space="0" w:color="auto"/>
          </w:divBdr>
        </w:div>
        <w:div w:id="727187558">
          <w:marLeft w:val="1166"/>
          <w:marRight w:val="0"/>
          <w:marTop w:val="96"/>
          <w:marBottom w:val="0"/>
          <w:divBdr>
            <w:top w:val="none" w:sz="0" w:space="0" w:color="auto"/>
            <w:left w:val="none" w:sz="0" w:space="0" w:color="auto"/>
            <w:bottom w:val="none" w:sz="0" w:space="0" w:color="auto"/>
            <w:right w:val="none" w:sz="0" w:space="0" w:color="auto"/>
          </w:divBdr>
        </w:div>
        <w:div w:id="1683435409">
          <w:marLeft w:val="1166"/>
          <w:marRight w:val="0"/>
          <w:marTop w:val="96"/>
          <w:marBottom w:val="0"/>
          <w:divBdr>
            <w:top w:val="none" w:sz="0" w:space="0" w:color="auto"/>
            <w:left w:val="none" w:sz="0" w:space="0" w:color="auto"/>
            <w:bottom w:val="none" w:sz="0" w:space="0" w:color="auto"/>
            <w:right w:val="none" w:sz="0" w:space="0" w:color="auto"/>
          </w:divBdr>
        </w:div>
        <w:div w:id="1457136111">
          <w:marLeft w:val="1166"/>
          <w:marRight w:val="0"/>
          <w:marTop w:val="96"/>
          <w:marBottom w:val="0"/>
          <w:divBdr>
            <w:top w:val="none" w:sz="0" w:space="0" w:color="auto"/>
            <w:left w:val="none" w:sz="0" w:space="0" w:color="auto"/>
            <w:bottom w:val="none" w:sz="0" w:space="0" w:color="auto"/>
            <w:right w:val="none" w:sz="0" w:space="0" w:color="auto"/>
          </w:divBdr>
        </w:div>
        <w:div w:id="2116634150">
          <w:marLeft w:val="1166"/>
          <w:marRight w:val="0"/>
          <w:marTop w:val="96"/>
          <w:marBottom w:val="0"/>
          <w:divBdr>
            <w:top w:val="none" w:sz="0" w:space="0" w:color="auto"/>
            <w:left w:val="none" w:sz="0" w:space="0" w:color="auto"/>
            <w:bottom w:val="none" w:sz="0" w:space="0" w:color="auto"/>
            <w:right w:val="none" w:sz="0" w:space="0" w:color="auto"/>
          </w:divBdr>
        </w:div>
      </w:divsChild>
    </w:div>
    <w:div w:id="152031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E257D8A155F4C954E299BEDFECC29" ma:contentTypeVersion="0" ma:contentTypeDescription="Create a new document." ma:contentTypeScope="" ma:versionID="849ae4ef6ce08c276cd5ffd6c37ac04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73F92-DCFA-44C6-BFC7-86DDF14BC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47ACC8-92B4-4C62-B1E2-98B948E93880}">
  <ds:schemaRefs>
    <ds:schemaRef ds:uri="http://schemas.microsoft.com/sharepoint/v3/contenttype/forms"/>
  </ds:schemaRefs>
</ds:datastoreItem>
</file>

<file path=customXml/itemProps3.xml><?xml version="1.0" encoding="utf-8"?>
<ds:datastoreItem xmlns:ds="http://schemas.openxmlformats.org/officeDocument/2006/customXml" ds:itemID="{AB064292-7EFE-49BC-819B-8FCAB435C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8EAB21-924C-2C49-BACC-ECBFA5D0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4828</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Lise Tancrede</dc:creator>
  <cp:lastModifiedBy>Trevor Putnoky</cp:lastModifiedBy>
  <cp:revision>2</cp:revision>
  <cp:lastPrinted>2014-11-19T17:56:00Z</cp:lastPrinted>
  <dcterms:created xsi:type="dcterms:W3CDTF">2014-12-09T20:03:00Z</dcterms:created>
  <dcterms:modified xsi:type="dcterms:W3CDTF">2014-12-09T20:03:00Z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0x010100C86E257D8A155F4C954E299BEDFECC29</vt:lpwstr>
  </property>
</Properties>
</file>